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中铁电气化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铁路运营管理有限公司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-202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年度</w:t>
      </w:r>
    </w:p>
    <w:p>
      <w:pPr>
        <w:pStyle w:val="2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劳务派遣服务项目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招标公告</w:t>
      </w:r>
    </w:p>
    <w:p>
      <w:pPr>
        <w:pStyle w:val="3"/>
        <w:rPr>
          <w:rFonts w:hint="default"/>
          <w:lang w:val="en-US"/>
        </w:rPr>
      </w:pPr>
    </w:p>
    <w:p>
      <w:pPr>
        <w:pStyle w:val="2"/>
        <w:spacing w:line="480" w:lineRule="exact"/>
        <w:ind w:firstLine="720" w:firstLineChars="300"/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安徽佰昌项目管理有限公司受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中铁电气化铁路运营管理有限公司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委托，现对“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中铁电气化铁路运营管理有限公司202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年度劳务派遣服务项目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”进行邀请招标，欢迎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全国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潜在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投标人积极参加投标。</w:t>
      </w:r>
    </w:p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 w:cs="宋体"/>
          <w:color w:val="000000"/>
          <w:kern w:val="0"/>
          <w:sz w:val="24"/>
        </w:rPr>
      </w:pPr>
      <w:bookmarkStart w:id="0" w:name="_Toc12308"/>
      <w:r>
        <w:rPr>
          <w:rFonts w:hint="eastAsia" w:ascii="宋体" w:hAnsi="宋体"/>
          <w:b/>
          <w:color w:val="000000"/>
          <w:sz w:val="24"/>
          <w:lang w:val="zh-CN"/>
        </w:rPr>
        <w:t>一、项目</w:t>
      </w:r>
      <w:r>
        <w:rPr>
          <w:rFonts w:hint="eastAsia" w:ascii="宋体" w:hAnsi="宋体"/>
          <w:b/>
          <w:color w:val="000000"/>
          <w:sz w:val="24"/>
        </w:rPr>
        <w:t>基本情况</w:t>
      </w:r>
      <w:bookmarkEnd w:id="0"/>
    </w:p>
    <w:p>
      <w:pPr>
        <w:pStyle w:val="2"/>
        <w:spacing w:line="480" w:lineRule="exact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1、项目编号：BC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XL-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FW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pStyle w:val="2"/>
        <w:spacing w:line="480" w:lineRule="exact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中铁电气化铁路运营管理有限公司202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bookmarkStart w:id="17" w:name="_GoBack"/>
      <w:bookmarkEnd w:id="17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年度劳务派遣服务项目</w:t>
      </w:r>
    </w:p>
    <w:p>
      <w:pPr>
        <w:pStyle w:val="2"/>
        <w:spacing w:line="480" w:lineRule="exact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3、预算金额：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元/人/月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4、最高限价：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元/人/月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5、资金来源：自筹资金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6、采购需求：为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中铁电气化铁路运营管理有限公司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劳务派遣人员签订合同、社保缴纳、工资发放、劳务纠纷等服务，具体要求详见招标文件。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7、项目类别：服务类</w:t>
      </w:r>
    </w:p>
    <w:p>
      <w:pPr>
        <w:pStyle w:val="2"/>
        <w:spacing w:line="480" w:lineRule="exact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8、采购方式：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公开招标</w:t>
      </w:r>
    </w:p>
    <w:p>
      <w:pPr>
        <w:pStyle w:val="2"/>
        <w:spacing w:line="480" w:lineRule="exact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9、合同履行期限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:自合同签订之日起两年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10、标段（包别）划分：本项目不划分包别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11、本项目不接受联合体</w:t>
      </w:r>
    </w:p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bookmarkStart w:id="1" w:name="_Toc14231"/>
      <w:r>
        <w:rPr>
          <w:rFonts w:hint="eastAsia" w:ascii="宋体" w:hAnsi="宋体"/>
          <w:b/>
          <w:color w:val="000000"/>
          <w:sz w:val="24"/>
          <w:lang w:val="zh-CN"/>
        </w:rPr>
        <w:t>二、</w:t>
      </w:r>
      <w:r>
        <w:rPr>
          <w:rFonts w:hint="eastAsia" w:ascii="宋体" w:hAnsi="宋体"/>
          <w:b/>
          <w:color w:val="000000"/>
          <w:sz w:val="24"/>
        </w:rPr>
        <w:t>申请人的</w:t>
      </w:r>
      <w:r>
        <w:rPr>
          <w:rFonts w:hint="eastAsia" w:ascii="宋体" w:hAnsi="宋体"/>
          <w:b/>
          <w:color w:val="000000"/>
          <w:sz w:val="24"/>
          <w:lang w:val="zh-CN"/>
        </w:rPr>
        <w:t>资格</w:t>
      </w:r>
      <w:r>
        <w:rPr>
          <w:rFonts w:hint="eastAsia" w:ascii="宋体" w:hAnsi="宋体"/>
          <w:b/>
          <w:color w:val="000000"/>
          <w:sz w:val="24"/>
        </w:rPr>
        <w:t>要求</w:t>
      </w:r>
      <w:bookmarkEnd w:id="1"/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2" w:name="_Toc2004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投标人须是中华人民共和国境内注册的企业法人。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投标人须具有人力资源服务许可证。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投标人须具有劳务派遣经营许可证。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投标人存在以下不良信用记录情形之一的，不得推荐为中标候选投标人，不得确定为中标投标人：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被人民法院列入失信被执行人的；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被市场监督管理部门列入企业经营异常名录的；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被税务部门列入重大税收违法案件当事人名单的；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被政府采购监管部门列入政府采购严重违法失信行为记录名单的。</w:t>
      </w:r>
    </w:p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zh-CN"/>
        </w:rPr>
        <w:t>三、</w:t>
      </w:r>
      <w:r>
        <w:rPr>
          <w:rFonts w:hint="eastAsia" w:ascii="宋体" w:hAnsi="宋体"/>
          <w:b/>
          <w:color w:val="000000"/>
          <w:sz w:val="24"/>
        </w:rPr>
        <w:t>获取采购文件</w:t>
      </w:r>
      <w:bookmarkEnd w:id="2"/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  <w:highlight w:val="yellow"/>
        </w:rPr>
      </w:pPr>
      <w:bookmarkStart w:id="3" w:name="_Toc13979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1、获取时间：202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日，每天上午8:00至12:00，下午2:00至6:00（北京时间，法定节假日除外）。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2、获取方式：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安徽佰昌项目管理有限公司官网（http://www.anhuibaichang.com/）根据以上网址获取报名表，缴纳报名费，报名截止后线上获取招标文件。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3、售价：本项目的招标文件售价人民币200元整（汇款凭证须备注项目编号），售后不退。</w:t>
      </w:r>
    </w:p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zh-CN"/>
        </w:rPr>
        <w:t>四、</w:t>
      </w:r>
      <w:r>
        <w:rPr>
          <w:rFonts w:hint="eastAsia" w:ascii="宋体" w:hAnsi="宋体"/>
          <w:b/>
          <w:color w:val="000000"/>
          <w:sz w:val="24"/>
        </w:rPr>
        <w:t>递交投标文件截至时间、开标时间和地点（线上开标）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纸质标书递交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截止时间：202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时00分（北京时间）</w:t>
      </w:r>
    </w:p>
    <w:p>
      <w:pPr>
        <w:pStyle w:val="2"/>
        <w:spacing w:line="480" w:lineRule="exact"/>
        <w:jc w:val="both"/>
        <w:rPr>
          <w:rFonts w:hint="eastAsia" w:ascii="宋体" w:hAnsi="宋体" w:cs="宋体"/>
          <w:kern w:val="0"/>
          <w:position w:val="6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2、纸质标书邮寄地址：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合肥市</w:t>
      </w:r>
      <w:r>
        <w:rPr>
          <w:rFonts w:hint="eastAsia" w:ascii="宋体" w:hAnsi="宋体" w:cs="宋体"/>
          <w:kern w:val="0"/>
          <w:position w:val="6"/>
          <w:sz w:val="24"/>
        </w:rPr>
        <w:t>蜀山区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长江西路669号拓基城市广场C座1110</w:t>
      </w:r>
    </w:p>
    <w:p>
      <w:pPr>
        <w:pStyle w:val="2"/>
        <w:spacing w:line="480" w:lineRule="exact"/>
        <w:jc w:val="both"/>
        <w:rPr>
          <w:rFonts w:hint="eastAsia" w:ascii="宋体" w:hAnsi="宋体" w:cs="宋体"/>
          <w:kern w:val="0"/>
          <w:position w:val="6"/>
          <w:sz w:val="24"/>
          <w:lang w:val="en-US" w:eastAsia="zh-CN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3、线上开标时间：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时00分（北京时间）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4：线上开标地点：腾讯会议平台。具体会议号由招标代理工作人开标前12小时统一告知。</w:t>
      </w:r>
      <w:r>
        <w:rPr>
          <w:rFonts w:hint="eastAsia" w:ascii="宋体" w:hAnsi="宋体" w:cs="宋体"/>
          <w:kern w:val="0"/>
          <w:position w:val="6"/>
          <w:sz w:val="24"/>
        </w:rPr>
        <w:t>　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、如出现以下情形，招标代理机构不予接收投标文件：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（1）逾期送达或者未送达指定地点的；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（2）未按招标文件要求密封的；</w:t>
      </w:r>
    </w:p>
    <w:p>
      <w:pPr>
        <w:pStyle w:val="2"/>
        <w:spacing w:line="480" w:lineRule="exact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（3）未按本公告要求获得本项目招标文件的。</w:t>
      </w:r>
    </w:p>
    <w:bookmarkEnd w:id="3"/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bookmarkStart w:id="4" w:name="_Toc7116"/>
      <w:r>
        <w:rPr>
          <w:rFonts w:hint="eastAsia" w:ascii="宋体" w:hAnsi="宋体"/>
          <w:b/>
          <w:color w:val="000000"/>
          <w:sz w:val="24"/>
        </w:rPr>
        <w:t>五、公告期限</w:t>
      </w:r>
      <w:bookmarkEnd w:id="4"/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自本公告发布之日起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至项目开标截止时间结束</w:t>
      </w:r>
      <w:r>
        <w:rPr>
          <w:rFonts w:hint="eastAsia" w:ascii="宋体" w:hAnsi="宋体" w:cs="宋体"/>
          <w:kern w:val="0"/>
          <w:position w:val="6"/>
          <w:sz w:val="24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bookmarkStart w:id="5" w:name="_Toc26524"/>
      <w:bookmarkStart w:id="6" w:name="_Toc35393804"/>
      <w:bookmarkStart w:id="7" w:name="_Toc35393635"/>
      <w:r>
        <w:rPr>
          <w:rFonts w:hint="eastAsia" w:ascii="宋体" w:hAnsi="宋体"/>
          <w:b/>
          <w:color w:val="000000"/>
          <w:sz w:val="24"/>
        </w:rPr>
        <w:t>其他补充事宜</w:t>
      </w:r>
      <w:bookmarkEnd w:id="5"/>
      <w:bookmarkEnd w:id="6"/>
      <w:bookmarkEnd w:id="7"/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rPr>
          <w:rFonts w:hint="eastAsia" w:ascii="宋体" w:hAnsi="宋体" w:cs="宋体"/>
          <w:kern w:val="0"/>
          <w:position w:val="6"/>
          <w:sz w:val="24"/>
          <w:lang w:val="en-US" w:eastAsia="zh-CN"/>
        </w:rPr>
      </w:pPr>
      <w:bookmarkStart w:id="8" w:name="_Toc20724"/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对本项目如由疑问请各潜在投标人联系招标代理机构人员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rPr>
          <w:rFonts w:hint="default" w:ascii="宋体" w:hAnsi="宋体" w:cs="宋体"/>
          <w:kern w:val="0"/>
          <w:position w:val="6"/>
          <w:sz w:val="24"/>
          <w:lang w:val="en-US" w:eastAsia="zh-CN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2、公告发布平台：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ind w:firstLine="480" w:firstLineChars="200"/>
        <w:rPr>
          <w:rFonts w:hint="eastAsia" w:ascii="宋体" w:hAnsi="宋体" w:cs="宋体"/>
          <w:kern w:val="0"/>
          <w:position w:val="6"/>
          <w:sz w:val="24"/>
          <w:lang w:val="en-US" w:eastAsia="zh-CN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中国招标投标公共服务平台（http://www.cebpubservice.com/）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ind w:firstLine="480" w:firstLineChars="200"/>
        <w:rPr>
          <w:rFonts w:hint="eastAsia" w:ascii="宋体" w:hAnsi="宋体" w:cs="宋体"/>
          <w:kern w:val="0"/>
          <w:position w:val="6"/>
          <w:sz w:val="24"/>
          <w:lang w:val="en-US" w:eastAsia="zh-CN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安徽佰昌项目管理有限公司官网（http://www.anhuibaichang.com/）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安徽省招标投标信息网（http://www.ahtba.org.cn/）</w:t>
      </w:r>
    </w:p>
    <w:p>
      <w:pPr>
        <w:adjustRightInd w:val="0"/>
        <w:snapToGrid w:val="0"/>
        <w:spacing w:before="156" w:beforeLines="50" w:after="156" w:afterLines="50" w:line="400" w:lineRule="exact"/>
        <w:outlineLvl w:val="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</w:t>
      </w:r>
      <w:r>
        <w:rPr>
          <w:rFonts w:hint="eastAsia" w:ascii="宋体" w:hAnsi="宋体"/>
          <w:b/>
          <w:color w:val="000000"/>
          <w:sz w:val="24"/>
          <w:lang w:val="zh-CN"/>
        </w:rPr>
        <w:t>、</w:t>
      </w:r>
      <w:r>
        <w:rPr>
          <w:rFonts w:hint="eastAsia" w:ascii="宋体" w:hAnsi="宋体"/>
          <w:b/>
          <w:color w:val="000000"/>
          <w:sz w:val="24"/>
        </w:rPr>
        <w:t>凡对本次采购提出询问，请按以下方式联系</w:t>
      </w:r>
      <w:bookmarkEnd w:id="8"/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bookmarkStart w:id="9" w:name="_Toc28359096"/>
      <w:bookmarkStart w:id="10" w:name="_Toc35393806"/>
      <w:bookmarkStart w:id="11" w:name="_Toc35393637"/>
      <w:bookmarkStart w:id="12" w:name="_Toc28359019"/>
      <w:r>
        <w:rPr>
          <w:rFonts w:hint="eastAsia" w:ascii="宋体" w:hAnsi="宋体" w:cs="宋体"/>
          <w:kern w:val="0"/>
          <w:position w:val="6"/>
          <w:sz w:val="24"/>
        </w:rPr>
        <w:t>1.采购人信息</w:t>
      </w:r>
      <w:bookmarkEnd w:id="9"/>
      <w:bookmarkEnd w:id="10"/>
      <w:bookmarkEnd w:id="11"/>
      <w:bookmarkEnd w:id="12"/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名    称：</w:t>
      </w:r>
      <w:r>
        <w:rPr>
          <w:rFonts w:hint="eastAsia" w:ascii="宋体" w:hAnsi="宋体" w:cs="宋体"/>
          <w:kern w:val="0"/>
          <w:position w:val="6"/>
          <w:sz w:val="24"/>
          <w:lang w:eastAsia="zh-CN"/>
        </w:rPr>
        <w:t>中铁电气化铁路运营管理有限公司</w:t>
      </w:r>
      <w:r>
        <w:rPr>
          <w:rFonts w:hint="eastAsia" w:ascii="宋体" w:hAnsi="宋体" w:cs="宋体"/>
          <w:kern w:val="0"/>
          <w:position w:val="6"/>
          <w:sz w:val="24"/>
        </w:rPr>
        <w:t>　　　　　　　　　　</w:t>
      </w:r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地    址：上海市嘉定区南翔镇南翔路上海维管处</w:t>
      </w:r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联系方式：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薛女士、</w:t>
      </w:r>
      <w:r>
        <w:rPr>
          <w:rFonts w:hint="eastAsia" w:ascii="宋体" w:hAnsi="宋体" w:cs="宋体"/>
          <w:kern w:val="0"/>
          <w:position w:val="6"/>
          <w:sz w:val="24"/>
        </w:rPr>
        <w:t xml:space="preserve">18601799713　　　　　 　　　 </w:t>
      </w:r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bookmarkStart w:id="13" w:name="_Toc28359020"/>
      <w:bookmarkStart w:id="14" w:name="_Toc28359097"/>
      <w:bookmarkStart w:id="15" w:name="_Toc35393807"/>
      <w:bookmarkStart w:id="16" w:name="_Toc35393638"/>
      <w:r>
        <w:rPr>
          <w:rFonts w:hint="eastAsia" w:ascii="宋体" w:hAnsi="宋体" w:cs="宋体"/>
          <w:kern w:val="0"/>
          <w:position w:val="6"/>
          <w:sz w:val="24"/>
        </w:rPr>
        <w:t>2.采购代理机构信息</w:t>
      </w:r>
      <w:bookmarkEnd w:id="13"/>
      <w:bookmarkEnd w:id="14"/>
      <w:bookmarkEnd w:id="15"/>
      <w:bookmarkEnd w:id="16"/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名    称：安徽佰昌项目管理有限公司　　　　　　　　　　　</w:t>
      </w:r>
    </w:p>
    <w:p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position w:val="6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地　　址：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合肥市</w:t>
      </w:r>
      <w:r>
        <w:rPr>
          <w:rFonts w:hint="eastAsia" w:ascii="宋体" w:hAnsi="宋体" w:cs="宋体"/>
          <w:kern w:val="0"/>
          <w:position w:val="6"/>
          <w:sz w:val="24"/>
        </w:rPr>
        <w:t>蜀山区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长江西路669号拓基城市广场C座1110</w:t>
      </w:r>
      <w:r>
        <w:rPr>
          <w:rFonts w:hint="eastAsia" w:ascii="宋体" w:hAnsi="宋体" w:cs="宋体"/>
          <w:kern w:val="0"/>
          <w:position w:val="6"/>
          <w:sz w:val="24"/>
        </w:rPr>
        <w:t>　　　　　　　　　　　　　</w:t>
      </w:r>
    </w:p>
    <w:p>
      <w:pPr>
        <w:widowControl/>
        <w:shd w:val="clear" w:color="auto" w:fill="FFFFFF"/>
        <w:spacing w:line="48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kern w:val="0"/>
          <w:position w:val="6"/>
          <w:sz w:val="24"/>
        </w:rPr>
        <w:t>联系方式：</w:t>
      </w:r>
      <w:r>
        <w:rPr>
          <w:rFonts w:hint="eastAsia" w:ascii="宋体" w:hAnsi="宋体" w:cs="宋体"/>
          <w:kern w:val="0"/>
          <w:position w:val="6"/>
          <w:sz w:val="24"/>
          <w:lang w:val="en-US" w:eastAsia="zh-CN"/>
        </w:rPr>
        <w:t>徐工、</w:t>
      </w:r>
      <w:r>
        <w:rPr>
          <w:rFonts w:hint="eastAsia" w:ascii="宋体" w:hAnsi="宋体" w:cs="宋体"/>
          <w:kern w:val="0"/>
          <w:position w:val="6"/>
          <w:sz w:val="24"/>
        </w:rPr>
        <w:t>17730004992 　　　　　　　　　　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9A4335"/>
    <w:multiLevelType w:val="singleLevel"/>
    <w:tmpl w:val="D29A433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F058E0"/>
    <w:multiLevelType w:val="singleLevel"/>
    <w:tmpl w:val="79F05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EA41250"/>
    <w:rsid w:val="232640F2"/>
    <w:rsid w:val="36E20634"/>
    <w:rsid w:val="3AE973F6"/>
    <w:rsid w:val="3EA41250"/>
    <w:rsid w:val="3F4D6C7C"/>
    <w:rsid w:val="50271E74"/>
    <w:rsid w:val="52AC3BCC"/>
    <w:rsid w:val="5AF31D95"/>
    <w:rsid w:val="65E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rFonts w:ascii="Calibri" w:eastAsia="宋体"/>
      <w:kern w:val="2"/>
      <w:positio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1194</Characters>
  <Lines>0</Lines>
  <Paragraphs>0</Paragraphs>
  <TotalTime>6</TotalTime>
  <ScaleCrop>false</ScaleCrop>
  <LinksUpToDate>false</LinksUpToDate>
  <CharactersWithSpaces>1280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2023-03-06T00:57:00Z</dcterms:created>
  <dc:creator>LoveDream。</dc:creator>
  <cp:lastModifiedBy>徐壮壮</cp:lastModifiedBy>
  <dcterms:modified xsi:type="dcterms:W3CDTF">2024-04-25T09:15:26Z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E7A439EA37E342B4A9BD838E74735428</vt:lpwstr>
  </property>
</Properties>
</file>