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  <w:lang w:val="en-US" w:eastAsia="zh-CN"/>
        </w:rPr>
        <w:t>2022年度公司经营基本正常</w:t>
      </w:r>
    </w:p>
    <w:p>
      <w:pPr>
        <w:ind w:firstLine="560" w:firstLineChars="200"/>
        <w:jc w:val="both"/>
        <w:rPr>
          <w:rFonts w:hint="eastAsia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  <w:t>2022年对于公司经营来说是非常不平凡的一年，七月和八月遇到四五十天的高温酷暑，十一月因为新冠疫情全城静默封闭了二十几天，十一月因为疫情扩散快速传染公司员工先后感染休息，公司二十几天无法正常上班。在这样艰难的大环境下，公司通过及时调整经营思路，优化管理，开源节流，想方设法渡过难关，终于度过困难，2022年公司经营基本正常。</w:t>
      </w:r>
    </w:p>
    <w:p>
      <w:pPr>
        <w:ind w:firstLine="560" w:firstLineChars="200"/>
        <w:jc w:val="both"/>
        <w:rPr>
          <w:rFonts w:hint="eastAsia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  <w:t>2022年公司经营总产值352530.99元。其中，工程类为2539997.89元，技术咨询服务类为770533.10元，营运类为210000.00元。</w:t>
      </w:r>
    </w:p>
    <w:p>
      <w:pPr>
        <w:ind w:firstLine="560" w:firstLineChars="200"/>
        <w:jc w:val="both"/>
        <w:rPr>
          <w:rFonts w:hint="default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  <w:t>艰难的2022年已经过去，公司将以全新的精神面貌，勇于开拓、砥砺前行，争取在2023年更上一层楼，创造优异业绩！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mYzEwYTA5N2U0ZDA5NzhlNTNlNTM0ZDkxNGRhNjYifQ=="/>
  </w:docVars>
  <w:rsids>
    <w:rsidRoot w:val="00000000"/>
    <w:rsid w:val="02822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2023-01-10T02:54:01Z</dcterms:created>
  <dc:creator>Administrator</dc:creator>
  <cp:lastModifiedBy>Administrator</cp:lastModifiedBy>
  <dcterms:modified xsi:type="dcterms:W3CDTF">2023-01-10T03:09:47Z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EFF18508E4A44C44894D8A8285BBA67C</vt:lpwstr>
  </property>
</Properties>
</file>