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两馆一场（梅州城市展览馆、梅州市科学技术馆、地上广场）购买第三方管理服务项目采购需求问卷调查表</w:t>
      </w:r>
    </w:p>
    <w:p>
      <w:pPr>
        <w:numPr>
          <w:ilvl w:val="0"/>
          <w:numId w:val="0"/>
        </w:numPr>
        <w:shd w:val="clear"/>
        <w:ind w:left="720" w:leftChars="0" w:hanging="720" w:firstLineChars="0"/>
        <w:rPr>
          <w:rFonts w:hint="eastAsia" w:ascii="宋体" w:hAnsi="宋体" w:eastAsia="宋体" w:cs="宋体"/>
          <w:b/>
          <w:color w:val="000000" w:themeColor="text1"/>
          <w:sz w:val="28"/>
          <w:szCs w:val="28"/>
          <w14:textFill>
            <w14:solidFill>
              <w14:schemeClr w14:val="tx1"/>
            </w14:solidFill>
          </w14:textFill>
        </w:rPr>
      </w:pPr>
      <w:r>
        <w:rPr>
          <w:rFonts w:hint="default" w:ascii="宋体" w:hAnsi="宋体" w:eastAsia="宋体" w:cs="宋体"/>
          <w:b/>
          <w:color w:val="000000" w:themeColor="text1"/>
          <w:kern w:val="21"/>
          <w:sz w:val="28"/>
          <w:szCs w:val="28"/>
          <w:lang w:val="en-US" w:eastAsia="zh-CN" w:bidi="ar-SA"/>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接受需求调查的市场主体基本情况</w:t>
      </w:r>
    </w:p>
    <w:tbl>
      <w:tblPr>
        <w:tblStyle w:val="8"/>
        <w:tblW w:w="5108" w:type="pct"/>
        <w:jc w:val="center"/>
        <w:tblLayout w:type="autofit"/>
        <w:tblCellMar>
          <w:top w:w="0" w:type="dxa"/>
          <w:left w:w="0" w:type="dxa"/>
          <w:bottom w:w="0" w:type="dxa"/>
          <w:right w:w="0" w:type="dxa"/>
        </w:tblCellMar>
      </w:tblPr>
      <w:tblGrid>
        <w:gridCol w:w="3401"/>
        <w:gridCol w:w="1627"/>
        <w:gridCol w:w="3913"/>
        <w:gridCol w:w="1830"/>
        <w:gridCol w:w="3963"/>
      </w:tblGrid>
      <w:tr>
        <w:tblPrEx>
          <w:tblCellMar>
            <w:top w:w="0" w:type="dxa"/>
            <w:left w:w="0" w:type="dxa"/>
            <w:bottom w:w="0" w:type="dxa"/>
            <w:right w:w="0" w:type="dxa"/>
          </w:tblCellMar>
        </w:tblPrEx>
        <w:trPr>
          <w:trHeight w:val="546"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单位名称</w:t>
            </w:r>
          </w:p>
        </w:tc>
        <w:tc>
          <w:tcPr>
            <w:tcW w:w="3846" w:type="pct"/>
            <w:gridSpan w:val="4"/>
            <w:tcBorders>
              <w:top w:val="single" w:color="000000" w:sz="4" w:space="0"/>
              <w:left w:val="single" w:color="000000" w:sz="4" w:space="0"/>
              <w:bottom w:val="single" w:color="000000" w:sz="4" w:space="0"/>
              <w:right w:val="single" w:color="000000" w:sz="4" w:space="0"/>
            </w:tcBorders>
            <w:vAlign w:val="center"/>
          </w:tcPr>
          <w:p>
            <w:pPr>
              <w:shd w:val="clear"/>
              <w:tabs>
                <w:tab w:val="left" w:pos="202"/>
              </w:tabs>
              <w:spacing w:line="400" w:lineRule="exact"/>
              <w:jc w:val="center"/>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464"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注册资金</w:t>
            </w:r>
          </w:p>
        </w:tc>
        <w:tc>
          <w:tcPr>
            <w:tcW w:w="1880" w:type="pct"/>
            <w:gridSpan w:val="2"/>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万元 </w:t>
            </w:r>
          </w:p>
        </w:tc>
        <w:tc>
          <w:tcPr>
            <w:tcW w:w="621"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成立时间</w:t>
            </w:r>
          </w:p>
        </w:tc>
        <w:tc>
          <w:tcPr>
            <w:tcW w:w="1345"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tc>
      </w:tr>
      <w:tr>
        <w:tblPrEx>
          <w:tblCellMar>
            <w:top w:w="0" w:type="dxa"/>
            <w:left w:w="0" w:type="dxa"/>
            <w:bottom w:w="0" w:type="dxa"/>
            <w:right w:w="0" w:type="dxa"/>
          </w:tblCellMar>
        </w:tblPrEx>
        <w:trPr>
          <w:trHeight w:val="369"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注册地址</w:t>
            </w:r>
          </w:p>
        </w:tc>
        <w:tc>
          <w:tcPr>
            <w:tcW w:w="3846" w:type="pct"/>
            <w:gridSpan w:val="4"/>
            <w:tcBorders>
              <w:top w:val="single" w:color="000000" w:sz="4" w:space="0"/>
              <w:left w:val="single" w:color="000000" w:sz="4" w:space="0"/>
              <w:bottom w:val="single" w:color="000000" w:sz="4" w:space="0"/>
              <w:right w:val="single" w:color="000000" w:sz="4" w:space="0"/>
            </w:tcBorders>
            <w:vAlign w:val="center"/>
          </w:tcPr>
          <w:p>
            <w:pPr>
              <w:shd w:val="clear"/>
              <w:spacing w:line="400" w:lineRule="exact"/>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邮政编码</w:t>
            </w:r>
          </w:p>
        </w:tc>
        <w:tc>
          <w:tcPr>
            <w:tcW w:w="1880" w:type="pct"/>
            <w:gridSpan w:val="2"/>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员工总数</w:t>
            </w:r>
          </w:p>
        </w:tc>
        <w:tc>
          <w:tcPr>
            <w:tcW w:w="1345"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1154" w:type="pct"/>
            <w:vMerge w:val="restar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联系方式</w:t>
            </w:r>
          </w:p>
        </w:tc>
        <w:tc>
          <w:tcPr>
            <w:tcW w:w="552"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p>
        </w:tc>
        <w:tc>
          <w:tcPr>
            <w:tcW w:w="1328"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1345"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1154" w:type="pct"/>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c>
          <w:tcPr>
            <w:tcW w:w="552"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网址</w:t>
            </w:r>
          </w:p>
        </w:tc>
        <w:tc>
          <w:tcPr>
            <w:tcW w:w="1328"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传真/邮箱</w:t>
            </w:r>
          </w:p>
        </w:tc>
        <w:tc>
          <w:tcPr>
            <w:tcW w:w="1345"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法定代表人（单位负责人）</w:t>
            </w:r>
          </w:p>
        </w:tc>
        <w:tc>
          <w:tcPr>
            <w:tcW w:w="552"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姓名</w:t>
            </w:r>
          </w:p>
        </w:tc>
        <w:tc>
          <w:tcPr>
            <w:tcW w:w="1328" w:type="pct"/>
            <w:tcBorders>
              <w:top w:val="single" w:color="000000" w:sz="4" w:space="0"/>
              <w:left w:val="single" w:color="000000" w:sz="4" w:space="0"/>
              <w:bottom w:val="single" w:color="000000" w:sz="4" w:space="0"/>
              <w:right w:val="single" w:color="000000" w:sz="4" w:space="0"/>
            </w:tcBorders>
            <w:vAlign w:val="center"/>
          </w:tcPr>
          <w:p>
            <w:pPr>
              <w:shd w:val="clear"/>
              <w:spacing w:line="400" w:lineRule="exact"/>
              <w:jc w:val="center"/>
              <w:rPr>
                <w:rFonts w:hint="eastAsia" w:ascii="宋体" w:hAnsi="宋体" w:eastAsia="宋体" w:cs="宋体"/>
                <w:color w:val="000000" w:themeColor="text1"/>
                <w:sz w:val="28"/>
                <w:szCs w:val="28"/>
                <w14:textFill>
                  <w14:solidFill>
                    <w14:schemeClr w14:val="tx1"/>
                  </w14:solidFill>
                </w14:textFill>
              </w:rPr>
            </w:pPr>
          </w:p>
        </w:tc>
        <w:tc>
          <w:tcPr>
            <w:tcW w:w="621"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1345" w:type="pct"/>
            <w:tcBorders>
              <w:top w:val="single" w:color="000000" w:sz="4" w:space="0"/>
              <w:left w:val="single" w:color="000000" w:sz="4" w:space="0"/>
              <w:bottom w:val="single" w:color="000000" w:sz="4" w:space="0"/>
              <w:right w:val="single" w:color="000000" w:sz="4" w:space="0"/>
            </w:tcBorders>
            <w:vAlign w:val="center"/>
          </w:tcPr>
          <w:p>
            <w:pPr>
              <w:shd w:val="clear"/>
              <w:tabs>
                <w:tab w:val="left" w:pos="1426"/>
              </w:tabs>
              <w:spacing w:line="400" w:lineRule="exact"/>
              <w:jc w:val="center"/>
              <w:rPr>
                <w:rFonts w:hint="eastAsia" w:ascii="宋体" w:hAnsi="宋体" w:eastAsia="宋体" w:cs="宋体"/>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与本项目采购需求相关的资质或者认证证书</w:t>
            </w:r>
          </w:p>
        </w:tc>
        <w:tc>
          <w:tcPr>
            <w:tcW w:w="3846" w:type="pct"/>
            <w:gridSpan w:val="4"/>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如有请罗列证书名称：</w:t>
            </w:r>
          </w:p>
        </w:tc>
      </w:tr>
      <w:tr>
        <w:tblPrEx>
          <w:tblCellMar>
            <w:top w:w="0" w:type="dxa"/>
            <w:left w:w="0" w:type="dxa"/>
            <w:bottom w:w="0" w:type="dxa"/>
            <w:right w:w="0" w:type="dxa"/>
          </w:tblCellMar>
        </w:tblPrEx>
        <w:trPr>
          <w:trHeight w:val="1222" w:hRule="atLeast"/>
          <w:jc w:val="center"/>
        </w:trPr>
        <w:tc>
          <w:tcPr>
            <w:tcW w:w="1154" w:type="pct"/>
            <w:tcBorders>
              <w:left w:val="single" w:color="000000" w:sz="4" w:space="0"/>
              <w:right w:val="single" w:color="000000" w:sz="4" w:space="0"/>
            </w:tcBorders>
            <w:vAlign w:val="center"/>
          </w:tcPr>
          <w:p>
            <w:pPr>
              <w:shd w:val="clear"/>
              <w:kinsoku w:val="0"/>
              <w:overflowPunct w:val="0"/>
              <w:spacing w:line="40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人员情况</w:t>
            </w:r>
          </w:p>
        </w:tc>
        <w:tc>
          <w:tcPr>
            <w:tcW w:w="3846" w:type="pct"/>
            <w:gridSpan w:val="4"/>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00" w:lineRule="exact"/>
              <w:ind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公司实有人员情况：</w:t>
            </w:r>
          </w:p>
          <w:p>
            <w:pPr>
              <w:shd w:val="clear"/>
              <w:kinsoku w:val="0"/>
              <w:overflowPunct w:val="0"/>
              <w:spacing w:line="400" w:lineRule="exact"/>
              <w:ind w:firstLine="0" w:firstLineChars="0"/>
              <w:rPr>
                <w:rFonts w:hint="eastAsia" w:ascii="宋体" w:hAnsi="宋体" w:eastAsia="宋体" w:cs="宋体"/>
                <w:b/>
                <w:bCs/>
                <w:color w:val="000000" w:themeColor="text1"/>
                <w:sz w:val="28"/>
                <w:szCs w:val="28"/>
                <w:shd w:val="clear" w:color="auto" w:fill="FFFFFF"/>
                <w14:textFill>
                  <w14:solidFill>
                    <w14:schemeClr w14:val="tx1"/>
                  </w14:solidFill>
                </w14:textFill>
              </w:rPr>
            </w:pPr>
          </w:p>
        </w:tc>
      </w:tr>
      <w:tr>
        <w:tblPrEx>
          <w:tblCellMar>
            <w:top w:w="0" w:type="dxa"/>
            <w:left w:w="0" w:type="dxa"/>
            <w:bottom w:w="0" w:type="dxa"/>
            <w:right w:w="0" w:type="dxa"/>
          </w:tblCellMar>
        </w:tblPrEx>
        <w:trPr>
          <w:trHeight w:val="697" w:hRule="atLeast"/>
          <w:jc w:val="center"/>
        </w:trPr>
        <w:tc>
          <w:tcPr>
            <w:tcW w:w="1154" w:type="pct"/>
            <w:tcBorders>
              <w:top w:val="single" w:color="000000" w:sz="4" w:space="0"/>
              <w:left w:val="single" w:color="000000" w:sz="4" w:space="0"/>
              <w:bottom w:val="single" w:color="000000" w:sz="4" w:space="0"/>
              <w:right w:val="single" w:color="000000" w:sz="4" w:space="0"/>
            </w:tcBorders>
            <w:vAlign w:val="center"/>
          </w:tcPr>
          <w:p>
            <w:pPr>
              <w:shd w:val="clear"/>
              <w:kinsoku w:val="0"/>
              <w:overflowPunct w:val="0"/>
              <w:spacing w:line="440" w:lineRule="exact"/>
              <w:ind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企业类别</w:t>
            </w:r>
          </w:p>
        </w:tc>
        <w:tc>
          <w:tcPr>
            <w:tcW w:w="3846" w:type="pct"/>
            <w:gridSpan w:val="4"/>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对照中小企业划型标准规定（工信部联企业〔2011〕300号）（其他未列明行业）属于      （大型企业/中型企业/小型企业/微型企业）</w:t>
            </w:r>
          </w:p>
          <w:p>
            <w:pPr>
              <w:shd w:val="clear"/>
              <w:spacing w:line="44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注：从业人员300人以下的为中小微型企业。其中，从业人员100人及以上的为中型企业；从业人员10人及以上的为小型企业；从业人员10人以下的为微型企业。</w:t>
            </w:r>
          </w:p>
        </w:tc>
      </w:tr>
    </w:tbl>
    <w:p>
      <w:pPr>
        <w:shd w:val="clear"/>
        <w:kinsoku w:val="0"/>
        <w:overflowPunct w:val="0"/>
        <w:spacing w:line="440" w:lineRule="exact"/>
        <w:ind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（注：供应商可根据实际情况选填，也可以在此基础上外延增加内容）</w:t>
      </w:r>
    </w:p>
    <w:p>
      <w:pPr>
        <w:widowControl/>
        <w:shd w:val="clear"/>
        <w:spacing w:line="440" w:lineRule="exact"/>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numPr>
          <w:ilvl w:val="0"/>
          <w:numId w:val="0"/>
        </w:numPr>
        <w:shd w:val="clear"/>
        <w:spacing w:line="440" w:lineRule="exact"/>
        <w:ind w:left="720" w:leftChars="0" w:hanging="720" w:firstLineChars="0"/>
        <w:rPr>
          <w:rFonts w:hint="eastAsia" w:ascii="宋体" w:hAnsi="宋体" w:eastAsia="宋体" w:cs="宋体"/>
          <w:b/>
          <w:color w:val="000000" w:themeColor="text1"/>
          <w:sz w:val="28"/>
          <w:szCs w:val="28"/>
          <w14:textFill>
            <w14:solidFill>
              <w14:schemeClr w14:val="tx1"/>
            </w14:solidFill>
          </w14:textFill>
        </w:rPr>
      </w:pPr>
      <w:r>
        <w:rPr>
          <w:rFonts w:hint="default" w:ascii="宋体" w:hAnsi="宋体" w:eastAsia="宋体" w:cs="宋体"/>
          <w:b/>
          <w:color w:val="000000" w:themeColor="text1"/>
          <w:kern w:val="21"/>
          <w:sz w:val="28"/>
          <w:szCs w:val="28"/>
          <w:lang w:val="en-US" w:eastAsia="zh-CN" w:bidi="ar-SA"/>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采购需求反馈意见</w:t>
      </w:r>
    </w:p>
    <w:tbl>
      <w:tblPr>
        <w:tblStyle w:val="8"/>
        <w:tblW w:w="50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899"/>
        <w:gridCol w:w="2340"/>
        <w:gridCol w:w="3215"/>
        <w:gridCol w:w="3804"/>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1" w:type="pct"/>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调查项</w:t>
            </w:r>
          </w:p>
        </w:tc>
        <w:tc>
          <w:tcPr>
            <w:tcW w:w="4387" w:type="pct"/>
            <w:gridSpan w:val="5"/>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实际情况及对项目的意见等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531" w:type="pct"/>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采购标的所在产业发展情况</w:t>
            </w:r>
          </w:p>
        </w:tc>
        <w:tc>
          <w:tcPr>
            <w:tcW w:w="4387" w:type="pct"/>
            <w:gridSpan w:val="5"/>
            <w:vAlign w:val="center"/>
          </w:tcPr>
          <w:p>
            <w:pPr>
              <w:shd w:val="clear"/>
              <w:spacing w:line="440" w:lineRule="exact"/>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531" w:type="pct"/>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市场供给情况</w:t>
            </w:r>
          </w:p>
        </w:tc>
        <w:tc>
          <w:tcPr>
            <w:tcW w:w="4387" w:type="pct"/>
            <w:gridSpan w:val="5"/>
            <w:vAlign w:val="center"/>
          </w:tcPr>
          <w:p>
            <w:pPr>
              <w:shd w:val="clear"/>
              <w:spacing w:line="440" w:lineRule="exact"/>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31" w:type="pct"/>
            <w:vMerge w:val="restart"/>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贵单位近5年来同类项目历史成交情况</w:t>
            </w:r>
          </w:p>
        </w:tc>
        <w:tc>
          <w:tcPr>
            <w:tcW w:w="629" w:type="pct"/>
            <w:vAlign w:val="center"/>
          </w:tcPr>
          <w:p>
            <w:pPr>
              <w:shd w:val="clear"/>
              <w:spacing w:line="2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合同履行时间</w:t>
            </w:r>
          </w:p>
        </w:tc>
        <w:tc>
          <w:tcPr>
            <w:tcW w:w="775" w:type="pct"/>
            <w:vAlign w:val="center"/>
          </w:tcPr>
          <w:p>
            <w:pPr>
              <w:shd w:val="clear"/>
              <w:spacing w:line="2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1065" w:type="pct"/>
            <w:vAlign w:val="center"/>
          </w:tcPr>
          <w:p>
            <w:pPr>
              <w:shd w:val="clear"/>
              <w:spacing w:line="2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合同项目名称</w:t>
            </w:r>
          </w:p>
        </w:tc>
        <w:tc>
          <w:tcPr>
            <w:tcW w:w="1260" w:type="pct"/>
            <w:vAlign w:val="center"/>
          </w:tcPr>
          <w:p>
            <w:pPr>
              <w:shd w:val="clear"/>
              <w:spacing w:line="2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合同主要标的名称</w:t>
            </w:r>
          </w:p>
        </w:tc>
        <w:tc>
          <w:tcPr>
            <w:tcW w:w="656" w:type="pct"/>
            <w:vAlign w:val="center"/>
          </w:tcPr>
          <w:p>
            <w:pPr>
              <w:shd w:val="clear"/>
              <w:spacing w:line="2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1" w:type="pct"/>
            <w:vMerge w:val="continue"/>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629"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775"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1065"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1260"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656"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1" w:type="pct"/>
            <w:vMerge w:val="continue"/>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629"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775"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1065"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1260"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c>
          <w:tcPr>
            <w:tcW w:w="656" w:type="pct"/>
            <w:vAlign w:val="center"/>
          </w:tcPr>
          <w:p>
            <w:pPr>
              <w:shd w:val="clear"/>
              <w:spacing w:line="440" w:lineRule="exact"/>
              <w:jc w:val="center"/>
              <w:rPr>
                <w:rFonts w:hint="eastAsia" w:ascii="宋体" w:hAnsi="宋体" w:eastAsia="宋体" w:cs="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31" w:type="pct"/>
            <w:vMerge w:val="continue"/>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629"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77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06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260"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656"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1" w:type="pct"/>
            <w:vMerge w:val="continue"/>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629"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77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06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260"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656"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31" w:type="pct"/>
            <w:vMerge w:val="continue"/>
            <w:vAlign w:val="center"/>
          </w:tcPr>
          <w:p>
            <w:pPr>
              <w:shd w:val="clear"/>
              <w:spacing w:line="440" w:lineRule="exact"/>
              <w:jc w:val="center"/>
              <w:rPr>
                <w:rFonts w:hint="eastAsia" w:ascii="宋体" w:hAnsi="宋体" w:eastAsia="宋体" w:cs="宋体"/>
                <w:b/>
                <w:bCs/>
                <w:color w:val="000000" w:themeColor="text1"/>
                <w:sz w:val="28"/>
                <w:szCs w:val="28"/>
                <w14:textFill>
                  <w14:solidFill>
                    <w14:schemeClr w14:val="tx1"/>
                  </w14:solidFill>
                </w14:textFill>
              </w:rPr>
            </w:pPr>
          </w:p>
        </w:tc>
        <w:tc>
          <w:tcPr>
            <w:tcW w:w="629"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77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065"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1260"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c>
          <w:tcPr>
            <w:tcW w:w="656" w:type="pct"/>
            <w:vAlign w:val="center"/>
          </w:tcPr>
          <w:p>
            <w:pPr>
              <w:shd w:val="clear"/>
              <w:jc w:val="center"/>
              <w:rPr>
                <w:rFonts w:hint="eastAsia" w:ascii="宋体" w:hAnsi="宋体" w:eastAsia="宋体" w:cs="宋体"/>
                <w:color w:val="000000" w:themeColor="text1"/>
                <w:sz w:val="24"/>
                <w:szCs w:val="28"/>
                <w14:textFill>
                  <w14:solidFill>
                    <w14:schemeClr w14:val="tx1"/>
                  </w14:solidFill>
                </w14:textFill>
              </w:rPr>
            </w:pPr>
          </w:p>
        </w:tc>
      </w:tr>
    </w:tbl>
    <w:tbl>
      <w:tblPr>
        <w:tblStyle w:val="9"/>
        <w:tblW w:w="507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51"/>
        <w:gridCol w:w="60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shd w:val="clear" w:color="auto" w:fill="D8D8D8" w:themeFill="background1" w:themeFillShade="D9"/>
            <w:vAlign w:val="center"/>
          </w:tcPr>
          <w:p>
            <w:pPr>
              <w:widowControl w:val="0"/>
              <w:autoSpaceDE w:val="0"/>
              <w:autoSpaceDN w:val="0"/>
              <w:spacing w:after="0" w:line="312" w:lineRule="auto"/>
              <w:jc w:val="center"/>
              <w:rPr>
                <w:rFonts w:hint="eastAsia" w:ascii="宋体" w:hAnsi="宋体" w:eastAsia="宋体" w:cs="宋体"/>
                <w:b/>
                <w:snapToGrid w:val="0"/>
                <w:sz w:val="28"/>
                <w:szCs w:val="28"/>
              </w:rPr>
            </w:pPr>
            <w:r>
              <w:rPr>
                <w:rFonts w:hint="eastAsia" w:ascii="宋体" w:hAnsi="宋体" w:eastAsia="宋体" w:cs="宋体"/>
                <w:b/>
                <w:snapToGrid w:val="0"/>
                <w:sz w:val="28"/>
                <w:szCs w:val="28"/>
              </w:rPr>
              <w:t>采购需求相关内容</w:t>
            </w:r>
          </w:p>
        </w:tc>
        <w:tc>
          <w:tcPr>
            <w:tcW w:w="2052" w:type="pct"/>
            <w:shd w:val="clear" w:color="auto" w:fill="D8D8D8" w:themeFill="background1" w:themeFillShade="D9"/>
            <w:vAlign w:val="center"/>
          </w:tcPr>
          <w:p>
            <w:pPr>
              <w:widowControl w:val="0"/>
              <w:autoSpaceDE w:val="0"/>
              <w:autoSpaceDN w:val="0"/>
              <w:spacing w:after="0" w:line="312" w:lineRule="auto"/>
              <w:jc w:val="center"/>
              <w:rPr>
                <w:rFonts w:hint="eastAsia" w:ascii="宋体" w:hAnsi="宋体" w:eastAsia="宋体" w:cs="宋体"/>
                <w:b/>
                <w:snapToGrid w:val="0"/>
                <w:sz w:val="28"/>
                <w:szCs w:val="28"/>
              </w:rPr>
            </w:pPr>
            <w:r>
              <w:rPr>
                <w:rFonts w:hint="eastAsia" w:ascii="宋体" w:hAnsi="宋体" w:eastAsia="宋体" w:cs="宋体"/>
                <w:b/>
                <w:snapToGrid w:val="0"/>
                <w:sz w:val="28"/>
                <w:szCs w:val="28"/>
              </w:rPr>
              <w:t>供应商问卷调查（以下内容由供应商填写）请在所选答案前的□内打“√”，或将答案填写在相应的横线（或空格）上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snapToGrid w:val="0"/>
                <w:sz w:val="28"/>
                <w:szCs w:val="28"/>
              </w:rPr>
              <w:t>一、管理服务工作内容</w:t>
            </w:r>
          </w:p>
        </w:tc>
        <w:tc>
          <w:tcPr>
            <w:tcW w:w="2052" w:type="pct"/>
            <w:vAlign w:val="center"/>
          </w:tcPr>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snapToGrid w:val="0"/>
                <w:sz w:val="28"/>
                <w:szCs w:val="28"/>
              </w:rPr>
              <w:t>一、管理服务工作内容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“两馆一场”第三方管理服务工作内容</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（一）讲解（科普辅导）工作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1．中标供应商具备良好的导览讲解接待项目管理经验，为两馆提供展览和科普讲解工作。讲解员岗位设置不少于6名。</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负责“两馆”的导览讲解、科普讲解辅导服务，包括团队接待、重大参观活动的导览讲解、科普讲解辅导及日常定时讲解，要求熟练掌握讲解内容及技巧，保证讲解质量。工作期间主动、热情服务，使用普通话及礼貌用语。</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3．提供各类与会议、展览、学术交流、临特展等活动相关的一切服务，协助做好大型活动、会议、活动及临时重要公务活动的引导、接待、会务保障等相关工作。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4．指导观众正确操作展品，提供讲解服务及观众咨询服务工作。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5．中标供应商负责确保讲解员队伍稳定性，尤其在重要接待任务时，须保证讲解员充足、及时到位、满足接待任务需求。中标供应商要充分考虑讲解员的职业长期规划，鼓励讲解员积极参与各类形式的专业培训、专业竞赛，提升专业技能。</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6．中标供应商负责讲解员的培训和考核工作，支撑本项目的日常管理服务。培训与考核包括但不限于普通话、讲解技巧、科普辅导、形体礼仪、化妆造型等全方位课程及相关学习、培训等。</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7．负责常设展厅日常管理及秩序维护等工作，包括开馆前的区域检查、展品开机、展品看护等全流程工作，汇演报告厅辅助管理，展品维修维护，观众参观秩序维护，闭馆后的区域检查、展品关机及断电等工作。熟悉展厅展品基本操作流程、展品构成、科学原理以及注意事项，并进行规范操作演示。</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8．参与展厅及相关区域运行保障、安全保卫、信息宣传等相关辅助工作。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9．人员聘用要求：具有汉语语言、教育学、旅游管理、表演艺术专业、音乐表演、专业等专科或以上学历（含大专）年龄：男35周岁（含）以下，女35周岁（含）以下，持有讲解员证书以或持有普通话二级乙等及以上等级证书。</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（二）城市展览馆展项设备维护</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1.中标供应商应根据展览需求，协助提供开展国土空间规划与建筑方面的工作。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2.中标供应商投标报价应包含相关展项的日常维护维修费用。</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（三）安全保卫、公共秩序管理工作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1．中标供应商应提供全天24小时公共秩序安全等服务，负责日常游客、到访人员登记、检票、咨询、广播、会议会务服务及场馆其他活动支持等服务工作，做到热情周到，服务到位。</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2．负责管辖区域的安全保卫工作、公共秩序维护及突发事件的应急处理，对重点部位及责任区域24小时安全巡查，设立门岗，监控外来人员和进出车辆，纠正违法、违章行为，确保公共秩序良好。</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负责车辆行驶与停放秩序服务。负责完成各类展览、活动、比赛等全程安保工作。负责建立消防、防恐、防爆、防洪、防盗、防震等安全应急预案，及时处理突发事件流程，确保馆内无治安案件、恐怖事件、刑事案件等安全事故发生。</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负责做好展览及其他重大活动的安全保障和服务工作。举办大型接待、临展、特展、活动或临时接待时，要适当调集足够的秩序维护、清洁接待等工作人员进行服务，满足各项活动的服务管理要求（临时增加人员相关费用采购人不再承担），并配合做好临展、特展及活动进场单位的装修布展、撤场等相关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5．定期及重大节假日对场馆进行安全检查备案，并接受主管部门及上级检查。</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6．人员聘用要求：以男性为主，须年满18周岁至65周岁的中国公民，身心健康，品行良好，身高1.68米以上（含1.68米），五官端正、身体健康、体型匀称；须无刑事处罚、劳动教养、收容教育、强制戒毒或者被开除公职、开除军籍的记录；须着标志明显的保安人员着装，黑色皮鞋。</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（四）环境卫生管理</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1．提供“两馆一场”区域的日常管理服务和绿化养护服务。</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负责“两馆一场”区域的清洁卫生；负责展厅、展项、展品的专项清洁、定期消杀、垃圾的收集、清运等工作；按工作程序对范围内的场所进行日常定期清扫及巡回清扫保洁，确保展厅、公共楼梯、广场、道路、通道整洁，无堆放杂物现象。做到按制定标准全天候、全方位保洁，展区卫生间须按标准定人、定岗、定责管理、巡查、监督，卫生间保洁状况良好。</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3．中标供应商负责定期对两馆2米以下外墙进行清洗，外墙范围所指包括外墙玻璃幕墙。</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4．负责“两馆一场”区域四害消杀、空调管道清洗等清洁保洁服务，并提供相应的符合国家生产及使用标准的卫生用品；负责完成业主各类展览、活动、比赛等全程卫生保洁工作。</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5．人员聘用要求：55周岁以下，形象好，有相关保洁服务经验。</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必须品行端正，遵纪守法，身体健康，穿制服工作积极主动；服从相关管理制度。</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（五）水电设备基础管理</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1．中标供应商提供设备管理服务：“两馆一场”消防系统、高低压配电系统、空调系统、监控系统、水电、发电机房、弱电系统。</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2．负责视频监控系统、门禁系统、多媒体会议系统、展项运行操作系统、信息化网络系统、多功能视频会议系统、电话网络及交换机系统、电梯、手扶梯、LED显示系统等设备设施的日常管理和维护等。</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3．设备设施单价500元以内（含500元）的费用由中标供应商负责。超过单价500元以上的费用（包括需委托第三方组织实施的维护或维修内容等），由采购人另行申请支付该费用。</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4．定期检查水电安全，并备案接受检查。</w:t>
            </w:r>
          </w:p>
          <w:p>
            <w:pPr>
              <w:wordWrap w:val="0"/>
              <w:spacing w:after="0" w:line="276" w:lineRule="auto"/>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5．以男性为主，年龄在45周岁（含）以下，高中或高中同等学历以上(含)（具有相关公共文化场馆服务经验或退伍军人可放宽至初中学历），须持有维修电工五级（含）以上职业资格证书。</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1.项目内容的设置是否合理、是否符合国家和行业的相关规定？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sz w:val="28"/>
                <w:szCs w:val="28"/>
              </w:rPr>
            </w:pPr>
            <w:r>
              <w:rPr>
                <w:rFonts w:hint="eastAsia" w:ascii="宋体" w:hAnsi="宋体" w:eastAsia="宋体" w:cs="宋体"/>
                <w:b/>
                <w:snapToGrid w:val="0"/>
                <w:sz w:val="28"/>
                <w:szCs w:val="28"/>
              </w:rPr>
              <w:t>二、岗位人员要求</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b/>
                <w:snapToGrid w:val="0"/>
                <w:sz w:val="28"/>
                <w:szCs w:val="28"/>
              </w:rPr>
              <w:t>二、岗位人员要求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根据“两馆一场”的管理要求，管理工作人员应满足安全、优质高效、专业服务原则，配置一定的人员，确保为采购人提供优质、高效的专业队伍服务，并根据采购人要求改变不满意的服务状况，接受采购人的监督。</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2.管理单位聘用的工作人员必须符合劳动部门，且符合《劳动合同法》以及相关法律法规的要求。</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3.项目管理工作人员应具有良好的品行和职业道德，遵守国家宪法、法律法规，作风正派，有较强的工作责任心，对工作充满热情，无不良嗜好。</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4.项目管理工作人员应身体健康,无精神类疾病、无传染病史及心脑疾病,符合招聘岗位聘用体检标准。展厅工作岗位人员需形象气质佳，执行力强，有较好的沟通能力，团队协作能力。</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5.服务人员的工资不得低于梅州市政府规定的最低工资标准，包括意外保险、工伤保险、医疗保险、社会保险、商业保险、高温补贴费等，其费用必须符合现行梅州市政府的最新相关规定。</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6.工作要求</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（1）服务人员必须规范着装和佩戴（携带）使用装备，保持整洁仪容，上班时间须统一穿着工作服、佩戴工作牌和袖章等。</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（2）男性服务人员不得留大鬓头；女性服务人员不得化浓妆。</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（3）不得披衣、敞怀、挽袖、卷起裤脚、歪戴帽、穿拖鞋或赤脚。</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（4）服务人员必须做到语言、行为文明，重大问题不能处理的必须及时报告采购人。</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（5）服务人员必须服从采购人工作安排和调遣。</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（6）严禁酒后上班和上班期间饮酒。</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（7）严禁上班期间玩游戏或参与打牌、下棋及其他赌博活动。</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（8）严禁在岗位上与他人发生争吵或打架。</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（9）不得擅离岗位，不得脱岗、串岗。</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w:t>
            </w:r>
            <w:r>
              <w:rPr>
                <w:rFonts w:hint="eastAsia" w:ascii="宋体" w:hAnsi="宋体" w:eastAsia="宋体" w:cs="宋体"/>
                <w:sz w:val="28"/>
                <w:szCs w:val="28"/>
              </w:rPr>
              <w:t xml:space="preserve"> 岗位人员要求</w:t>
            </w:r>
            <w:r>
              <w:rPr>
                <w:rFonts w:hint="eastAsia" w:ascii="宋体" w:hAnsi="宋体" w:eastAsia="宋体" w:cs="宋体"/>
                <w:snapToGrid w:val="0"/>
                <w:sz w:val="28"/>
                <w:szCs w:val="28"/>
              </w:rPr>
              <w:t>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sz w:val="28"/>
                <w:szCs w:val="28"/>
              </w:rPr>
            </w:pPr>
            <w:r>
              <w:rPr>
                <w:rFonts w:hint="eastAsia" w:ascii="宋体" w:hAnsi="宋体" w:eastAsia="宋体" w:cs="宋体"/>
                <w:b/>
                <w:snapToGrid w:val="0"/>
                <w:sz w:val="28"/>
                <w:szCs w:val="28"/>
              </w:rPr>
              <w:t>三、“两馆一场”公益性要求</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b/>
                <w:snapToGrid w:val="0"/>
                <w:sz w:val="28"/>
                <w:szCs w:val="28"/>
              </w:rPr>
              <w:t>三、“两馆一场”公益性要求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免费开放区域（公益性部分）：梅州城市展览馆一层常设展厅、三层常设展厅，布展面积约3800㎡；梅州市科学技术馆A馆常设展厅，布展面积约1500㎡、5个主题馆（安全教育体验馆、天象体验馆、足球体验馆、先进制造业展厅、乡村振兴展厅）布展面积约789㎡。</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免费开放时间（公益性部分）：免费对公众开放，市民游客通过公众号预约或携带有效证件登记后方可入馆参观，团队参观需提前预约。每周二至周日9:30—17:30为正常开馆参观时间，周一闭馆检修维护。市委、市政府重大活动及重大节庆日、全市性活动，按要求适时开馆。</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3.每年策划举办4-6场的科普或文化类惠民活动，形式可以为演出、游艺、培训（含讲座、辅导）、沙龙等。</w:t>
            </w:r>
          </w:p>
          <w:p>
            <w:pPr>
              <w:wordWrap w:val="0"/>
              <w:spacing w:after="0" w:line="276"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注意：1.如有活动需临时占用的场馆，不对外开放。2.没有活动的时间段，以上区域免费开放并提供场馆预约使用服务。</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w:t>
            </w:r>
            <w:r>
              <w:rPr>
                <w:rFonts w:hint="eastAsia" w:ascii="宋体" w:hAnsi="宋体" w:eastAsia="宋体" w:cs="宋体"/>
                <w:sz w:val="28"/>
                <w:szCs w:val="28"/>
              </w:rPr>
              <w:t xml:space="preserve"> “两馆一场”公益性要求</w:t>
            </w:r>
            <w:r>
              <w:rPr>
                <w:rFonts w:hint="eastAsia" w:ascii="宋体" w:hAnsi="宋体" w:eastAsia="宋体" w:cs="宋体"/>
                <w:snapToGrid w:val="0"/>
                <w:sz w:val="28"/>
                <w:szCs w:val="28"/>
              </w:rPr>
              <w:t>内容的设置是否合理、是否符合国家和行业的相关规定？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ordWrap w:val="0"/>
              <w:spacing w:after="0"/>
              <w:rPr>
                <w:rFonts w:hint="eastAsia" w:ascii="宋体" w:hAnsi="宋体" w:eastAsia="宋体" w:cs="宋体"/>
                <w:sz w:val="28"/>
                <w:szCs w:val="28"/>
              </w:rPr>
            </w:pPr>
            <w:r>
              <w:rPr>
                <w:rFonts w:hint="eastAsia" w:ascii="宋体" w:hAnsi="宋体" w:eastAsia="宋体" w:cs="宋体"/>
                <w:b/>
                <w:bCs/>
                <w:sz w:val="28"/>
                <w:szCs w:val="28"/>
              </w:rPr>
              <w:t>四、中标供应商主要义务</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b/>
                <w:bCs/>
                <w:sz w:val="28"/>
                <w:szCs w:val="28"/>
              </w:rPr>
              <w:t>四、中标供应商主要义务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1.配合做好采购的日常监管和监督，协助做好上级主管单位的具体工作，现场要满足创建文明城市的相关要求。</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2.对资产清单内的设施设备进行日常维修、保养，保证设施设备在实际运行管理期限内的完整性、安全性以及功能使用的完好性。</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3.聘用人员应符合国家相关规定，接受相关部门的监督。成交供应商承担因自身管理原因造成意外和事故的赔偿和相应责任。</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4.遵守当地政府职能部门的相关规定，自觉接受检查和监督，若违反有关规定，由成交供应商承担责任。在管理过程中，若因成交供应商原因造成场馆财产毁损、灭失的，由成交供应商承担民事赔偿责任。若因第三方造成场馆财产毁损、灭失的，由相关责任人承担相关民事赔偿责任。</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5.中标供应商所有工作人员均需符合项目保密要求。</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6.中标供应商应当重视管理和培训工作。对各类工作人员进行定期培训，提高其业务工作能力、处置各类突发事件能力。各部门人员培训内容具体为：</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①人员的培训内容为：布展内容、礼仪常识、会议接待、安全管理知识、急救知识、互动展项操作、讲解技巧、形体礼仪、化妆造型等全方位课程。</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7.责任要求。中标供应商对两馆一场安全运营全面负责，含水电、消防、参观人员安全、设施设备使用安全、微信公众号安全等。根据国家有关法律、法规及合同约定的内容，行使日常管理权，并承担在管理过程中产生的经济、安全、法律责任。</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8.涉及使用科技馆场地或对外以科技馆名义开展的活动均原则上需提前发函至市科协，市科协同意后方可执行，如运营场地与主管单位活动相冲突，应服从主管单位安排；使用科技馆公众号必须是以科技馆名义开展的活动。</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9．涉及使用城市展览馆及周边广场（含围龙屋、景观塔）或对外以城市展览馆名义开展的活动均原则上需提前告知或请示市自然资源局。如运营场地与主管单位活动相冲突，应服从主管单位安排；使用城市展览馆公众号必须是以城市展览馆名义开展的活动。</w:t>
            </w:r>
          </w:p>
          <w:p>
            <w:pPr>
              <w:wordWrap w:val="0"/>
              <w:spacing w:after="0" w:line="276" w:lineRule="auto"/>
              <w:rPr>
                <w:rFonts w:hint="eastAsia" w:ascii="宋体" w:hAnsi="宋体" w:eastAsia="宋体" w:cs="宋体"/>
                <w:sz w:val="28"/>
                <w:szCs w:val="28"/>
              </w:rPr>
            </w:pPr>
            <w:r>
              <w:rPr>
                <w:rFonts w:hint="eastAsia" w:ascii="宋体" w:hAnsi="宋体" w:eastAsia="宋体" w:cs="宋体"/>
                <w:sz w:val="28"/>
                <w:szCs w:val="28"/>
              </w:rPr>
              <w:t>10.配合做好主管单位的其他工作。</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w:t>
            </w:r>
            <w:r>
              <w:rPr>
                <w:rFonts w:hint="eastAsia" w:ascii="宋体" w:hAnsi="宋体" w:eastAsia="宋体" w:cs="宋体"/>
                <w:sz w:val="28"/>
                <w:szCs w:val="28"/>
              </w:rPr>
              <w:t xml:space="preserve"> 中标供应商主要义务</w:t>
            </w:r>
            <w:r>
              <w:rPr>
                <w:rFonts w:hint="eastAsia" w:ascii="宋体" w:hAnsi="宋体" w:eastAsia="宋体" w:cs="宋体"/>
                <w:snapToGrid w:val="0"/>
                <w:sz w:val="28"/>
                <w:szCs w:val="28"/>
              </w:rPr>
              <w:t>内容的设置是否合理、是否符合国家和行业的相关规定？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snapToGrid w:val="0"/>
                <w:sz w:val="28"/>
                <w:szCs w:val="28"/>
              </w:rPr>
              <w:t>五、其他要求</w:t>
            </w:r>
          </w:p>
        </w:tc>
        <w:tc>
          <w:tcPr>
            <w:tcW w:w="2052" w:type="pct"/>
            <w:vAlign w:val="center"/>
          </w:tcPr>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snapToGrid w:val="0"/>
                <w:sz w:val="28"/>
                <w:szCs w:val="28"/>
              </w:rPr>
              <w:t>五、其他要求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b w:val="0"/>
                <w:bCs/>
                <w:snapToGrid w:val="0"/>
                <w:sz w:val="28"/>
                <w:szCs w:val="28"/>
              </w:rPr>
            </w:pPr>
            <w:r>
              <w:rPr>
                <w:rFonts w:hint="eastAsia" w:ascii="宋体" w:hAnsi="宋体" w:eastAsia="宋体" w:cs="宋体"/>
                <w:b w:val="0"/>
                <w:bCs/>
                <w:snapToGrid w:val="0"/>
                <w:sz w:val="28"/>
                <w:szCs w:val="28"/>
              </w:rPr>
              <w:t>1、除技能培训外，中标供应商应注重加强团队建设，组织工作人员开展文体活动，提高团队凝聚力和向心力。</w:t>
            </w:r>
          </w:p>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val="0"/>
                <w:bCs/>
                <w:snapToGrid w:val="0"/>
                <w:sz w:val="28"/>
                <w:szCs w:val="28"/>
              </w:rPr>
              <w:t>2、供应商要保证服务团队的专业性、稳定性和连续性，并提前做好人力储备。服务团队人员须具备胜任工作岗位的资历和水平。</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w:t>
            </w:r>
            <w:r>
              <w:rPr>
                <w:rFonts w:hint="eastAsia" w:ascii="宋体" w:hAnsi="宋体" w:eastAsia="宋体" w:cs="宋体"/>
                <w:sz w:val="28"/>
                <w:szCs w:val="28"/>
              </w:rPr>
              <w:t xml:space="preserve"> 其他要求</w:t>
            </w:r>
            <w:r>
              <w:rPr>
                <w:rFonts w:hint="eastAsia" w:ascii="宋体" w:hAnsi="宋体" w:eastAsia="宋体" w:cs="宋体"/>
                <w:snapToGrid w:val="0"/>
                <w:sz w:val="28"/>
                <w:szCs w:val="28"/>
              </w:rPr>
              <w:t>内容的设置是否合理、是否符合国家和行业的相关规定？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default" w:ascii="宋体" w:hAnsi="宋体" w:eastAsia="宋体" w:cs="宋体"/>
                <w:b/>
                <w:snapToGrid w:val="0"/>
                <w:sz w:val="28"/>
                <w:szCs w:val="28"/>
                <w:lang w:val="en-US" w:eastAsia="zh-CN"/>
              </w:rPr>
            </w:pPr>
            <w:r>
              <w:rPr>
                <w:rFonts w:hint="eastAsia" w:cs="宋体"/>
                <w:b/>
                <w:snapToGrid w:val="0"/>
                <w:sz w:val="28"/>
                <w:szCs w:val="28"/>
                <w:lang w:val="en-US" w:eastAsia="zh-CN"/>
              </w:rPr>
              <w:t>六</w:t>
            </w:r>
            <w:r>
              <w:rPr>
                <w:rFonts w:hint="eastAsia" w:ascii="宋体" w:hAnsi="宋体" w:eastAsia="宋体" w:cs="宋体"/>
                <w:b/>
                <w:snapToGrid w:val="0"/>
                <w:sz w:val="28"/>
                <w:szCs w:val="28"/>
              </w:rPr>
              <w:t>、</w:t>
            </w:r>
            <w:r>
              <w:rPr>
                <w:rFonts w:hint="eastAsia" w:cs="宋体"/>
                <w:b/>
                <w:snapToGrid w:val="0"/>
                <w:sz w:val="28"/>
                <w:szCs w:val="28"/>
                <w:lang w:val="en-US" w:eastAsia="zh-CN"/>
              </w:rPr>
              <w:t>报价要求</w:t>
            </w:r>
          </w:p>
        </w:tc>
        <w:tc>
          <w:tcPr>
            <w:tcW w:w="2052" w:type="pct"/>
            <w:vAlign w:val="center"/>
          </w:tcPr>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cs="宋体"/>
                <w:b/>
                <w:snapToGrid w:val="0"/>
                <w:sz w:val="28"/>
                <w:szCs w:val="28"/>
                <w:lang w:val="en-US" w:eastAsia="zh-CN"/>
              </w:rPr>
              <w:t>六</w:t>
            </w:r>
            <w:r>
              <w:rPr>
                <w:rFonts w:hint="eastAsia" w:ascii="宋体" w:hAnsi="宋体" w:eastAsia="宋体" w:cs="宋体"/>
                <w:b/>
                <w:snapToGrid w:val="0"/>
                <w:sz w:val="28"/>
                <w:szCs w:val="28"/>
              </w:rPr>
              <w:t>、</w:t>
            </w:r>
            <w:r>
              <w:rPr>
                <w:rFonts w:hint="eastAsia" w:cs="宋体"/>
                <w:b/>
                <w:snapToGrid w:val="0"/>
                <w:sz w:val="28"/>
                <w:szCs w:val="28"/>
                <w:lang w:val="en-US" w:eastAsia="zh-CN"/>
              </w:rPr>
              <w:t>报价要求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b w:val="0"/>
                <w:bCs/>
                <w:snapToGrid w:val="0"/>
                <w:sz w:val="28"/>
                <w:szCs w:val="28"/>
              </w:rPr>
            </w:pPr>
            <w:r>
              <w:rPr>
                <w:rFonts w:hint="eastAsia" w:ascii="宋体" w:hAnsi="宋体" w:eastAsia="宋体" w:cs="宋体"/>
                <w:b w:val="0"/>
                <w:bCs/>
                <w:snapToGrid w:val="0"/>
                <w:sz w:val="28"/>
                <w:szCs w:val="28"/>
              </w:rPr>
              <w:t>1．馆内：水费、电费、员工工资及福利、加班费、体检费、工作服费用、培训费、离职经济补偿等人员成本费用、物业管理区域公共秩序维护、安保服务、保洁服务、除四害、白蚁防治费用、日常零星水电设备基础维护（不含单价500元以上的费用）、消防维护、电梯维保、文化设施建设（创文类）、公众责任保险与雇主责任保险、城市展览馆展项维保技术服务费（不含硬件、装饰、展项更新）、办公清洁耗材、馆内空气检测、中央空调通风系统卫生检测、展项专项清洁、玻璃幕墙清洁、网络信号建设、垃圾清运、培训学习、防疫防控等基本物资费用、场馆及设备设施维修费用；</w:t>
            </w:r>
          </w:p>
          <w:p>
            <w:pPr>
              <w:widowControl w:val="0"/>
              <w:autoSpaceDE w:val="0"/>
              <w:autoSpaceDN w:val="0"/>
              <w:spacing w:after="0" w:line="312" w:lineRule="auto"/>
              <w:jc w:val="both"/>
              <w:rPr>
                <w:rFonts w:hint="eastAsia" w:ascii="宋体" w:hAnsi="宋体" w:eastAsia="宋体" w:cs="宋体"/>
                <w:b w:val="0"/>
                <w:bCs/>
                <w:snapToGrid w:val="0"/>
                <w:sz w:val="28"/>
                <w:szCs w:val="28"/>
              </w:rPr>
            </w:pPr>
            <w:r>
              <w:rPr>
                <w:rFonts w:hint="eastAsia" w:ascii="宋体" w:hAnsi="宋体" w:eastAsia="宋体" w:cs="宋体"/>
                <w:b w:val="0"/>
                <w:bCs/>
                <w:snapToGrid w:val="0"/>
                <w:sz w:val="28"/>
                <w:szCs w:val="28"/>
              </w:rPr>
              <w:t>2．地上广场、绿地、围龙屋、景观塔、公厕、路灯、景观灯、水费、电费、安保服务、保洁服务、四害消杀、白蚁防治、红火蚁防治、绿化养护服务费用、日常零星水电设备基础维护等费用。</w:t>
            </w:r>
          </w:p>
          <w:p>
            <w:pPr>
              <w:widowControl w:val="0"/>
              <w:autoSpaceDE w:val="0"/>
              <w:autoSpaceDN w:val="0"/>
              <w:spacing w:after="0" w:line="312" w:lineRule="auto"/>
              <w:jc w:val="both"/>
              <w:rPr>
                <w:rFonts w:hint="eastAsia" w:ascii="宋体" w:hAnsi="宋体" w:eastAsia="宋体" w:cs="宋体"/>
                <w:b w:val="0"/>
                <w:bCs/>
                <w:snapToGrid w:val="0"/>
                <w:sz w:val="28"/>
                <w:szCs w:val="28"/>
              </w:rPr>
            </w:pPr>
            <w:r>
              <w:rPr>
                <w:rFonts w:hint="eastAsia" w:ascii="宋体" w:hAnsi="宋体" w:eastAsia="宋体" w:cs="宋体"/>
                <w:b w:val="0"/>
                <w:bCs/>
                <w:snapToGrid w:val="0"/>
                <w:sz w:val="28"/>
                <w:szCs w:val="28"/>
              </w:rPr>
              <w:t>3．企业税费、合理利润、风险费用等。</w:t>
            </w:r>
          </w:p>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b w:val="0"/>
                <w:bCs/>
                <w:snapToGrid w:val="0"/>
                <w:sz w:val="28"/>
                <w:szCs w:val="28"/>
              </w:rPr>
              <w:t>备注：设备设施单价500元以内（含500元）的费用由中标供应商负责。超过单价500元以上的费用（包括需委托第三方组织实施的维护或维修内容等），由采购人另行申请支付该费用。</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w:t>
            </w:r>
            <w:r>
              <w:rPr>
                <w:rFonts w:hint="eastAsia" w:ascii="宋体" w:hAnsi="宋体" w:eastAsia="宋体" w:cs="宋体"/>
                <w:sz w:val="28"/>
                <w:szCs w:val="28"/>
              </w:rPr>
              <w:t xml:space="preserve"> 报价要求</w:t>
            </w:r>
            <w:r>
              <w:rPr>
                <w:rFonts w:hint="eastAsia" w:ascii="宋体" w:hAnsi="宋体" w:eastAsia="宋体" w:cs="宋体"/>
                <w:snapToGrid w:val="0"/>
                <w:sz w:val="28"/>
                <w:szCs w:val="28"/>
              </w:rPr>
              <w:t>内容的设置是否合理、是否符合国家和行业的相关规定？</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□合理         </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□部分合理，不合理的条款是：       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□全部不合理，理由是：    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2.有无其他补充建议：</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□无</w:t>
            </w:r>
          </w:p>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snapToGrid w:val="0"/>
                <w:sz w:val="28"/>
                <w:szCs w:val="28"/>
              </w:rPr>
              <w:t>□有，具体建议是：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947" w:type="pct"/>
            <w:vAlign w:val="center"/>
          </w:tcPr>
          <w:p>
            <w:pPr>
              <w:widowControl w:val="0"/>
              <w:autoSpaceDE w:val="0"/>
              <w:autoSpaceDN w:val="0"/>
              <w:spacing w:after="0" w:line="312" w:lineRule="auto"/>
              <w:jc w:val="both"/>
              <w:rPr>
                <w:rFonts w:hint="eastAsia" w:ascii="宋体" w:hAnsi="宋体" w:eastAsia="宋体" w:cs="宋体"/>
                <w:b/>
                <w:snapToGrid w:val="0"/>
                <w:sz w:val="28"/>
                <w:szCs w:val="28"/>
                <w:lang w:eastAsia="zh-CN"/>
              </w:rPr>
            </w:pPr>
            <w:r>
              <w:rPr>
                <w:rFonts w:hint="eastAsia" w:ascii="宋体" w:hAnsi="宋体" w:eastAsia="宋体" w:cs="宋体"/>
                <w:sz w:val="28"/>
                <w:szCs w:val="28"/>
              </w:rPr>
              <w:t>采购预算分别为：12,245,061元。</w:t>
            </w:r>
            <w:r>
              <w:rPr>
                <w:rFonts w:hint="eastAsia" w:cs="宋体"/>
                <w:sz w:val="28"/>
                <w:szCs w:val="28"/>
                <w:lang w:eastAsia="zh-CN"/>
              </w:rPr>
              <w:t>（</w:t>
            </w:r>
            <w:r>
              <w:rPr>
                <w:rFonts w:hint="eastAsia" w:cs="宋体"/>
                <w:sz w:val="28"/>
                <w:szCs w:val="28"/>
                <w:lang w:val="en-US" w:eastAsia="zh-CN"/>
              </w:rPr>
              <w:t>4081687元/年,服务期为三年</w:t>
            </w:r>
            <w:r>
              <w:rPr>
                <w:rFonts w:hint="eastAsia" w:cs="宋体"/>
                <w:sz w:val="28"/>
                <w:szCs w:val="28"/>
                <w:lang w:eastAsia="zh-CN"/>
              </w:rPr>
              <w:t>）</w:t>
            </w:r>
          </w:p>
        </w:tc>
        <w:tc>
          <w:tcPr>
            <w:tcW w:w="2052" w:type="pct"/>
            <w:vAlign w:val="center"/>
          </w:tcPr>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1.采购预算能否足够完成上述服务内容？</w:t>
            </w:r>
          </w:p>
          <w:p>
            <w:pPr>
              <w:widowControl w:val="0"/>
              <w:autoSpaceDE w:val="0"/>
              <w:autoSpaceDN w:val="0"/>
              <w:spacing w:after="0" w:line="312" w:lineRule="auto"/>
              <w:jc w:val="both"/>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□能   </w:t>
            </w:r>
          </w:p>
          <w:p>
            <w:pPr>
              <w:widowControl w:val="0"/>
              <w:autoSpaceDE w:val="0"/>
              <w:autoSpaceDN w:val="0"/>
              <w:spacing w:after="0" w:line="312" w:lineRule="auto"/>
              <w:jc w:val="both"/>
              <w:rPr>
                <w:rFonts w:hint="eastAsia" w:ascii="宋体" w:hAnsi="宋体" w:eastAsia="宋体" w:cs="宋体"/>
                <w:b/>
                <w:snapToGrid w:val="0"/>
                <w:sz w:val="28"/>
                <w:szCs w:val="28"/>
              </w:rPr>
            </w:pPr>
            <w:r>
              <w:rPr>
                <w:rFonts w:hint="eastAsia" w:ascii="宋体" w:hAnsi="宋体" w:eastAsia="宋体" w:cs="宋体"/>
                <w:snapToGrid w:val="0"/>
                <w:sz w:val="28"/>
                <w:szCs w:val="28"/>
              </w:rPr>
              <w:t>□不能，理由是：       建议：</w:t>
            </w:r>
          </w:p>
        </w:tc>
      </w:tr>
    </w:tbl>
    <w:p>
      <w:pPr>
        <w:shd w:val="clear"/>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pPr>
        <w:shd w:val="clear"/>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、其他建议</w:t>
      </w:r>
    </w:p>
    <w:p>
      <w:pPr>
        <w:spacing w:line="220" w:lineRule="atLeast"/>
        <w:rPr>
          <w:rFonts w:hint="eastAsia" w:ascii="宋体" w:hAnsi="宋体" w:eastAsia="宋体" w:cs="宋体"/>
          <w:sz w:val="28"/>
          <w:szCs w:val="28"/>
        </w:rPr>
      </w:pPr>
      <w:r>
        <w:rPr>
          <w:rFonts w:hint="eastAsia" w:ascii="宋体" w:hAnsi="宋体" w:eastAsia="宋体" w:cs="宋体"/>
          <w:sz w:val="28"/>
          <w:szCs w:val="28"/>
        </w:rPr>
        <w:t>1.供应商对采购标的服务、商务要求的建议（如有，请详细说明）</w:t>
      </w:r>
    </w:p>
    <w:p>
      <w:pPr>
        <w:spacing w:line="220" w:lineRule="atLeast"/>
        <w:rPr>
          <w:rFonts w:hint="eastAsia" w:ascii="宋体" w:hAnsi="宋体" w:eastAsia="宋体" w:cs="宋体"/>
          <w:sz w:val="28"/>
          <w:szCs w:val="28"/>
        </w:rPr>
      </w:pPr>
      <w:r>
        <w:rPr>
          <w:rFonts w:hint="eastAsia" w:ascii="宋体" w:hAnsi="宋体" w:eastAsia="宋体" w:cs="宋体"/>
          <w:sz w:val="28"/>
          <w:szCs w:val="28"/>
        </w:rPr>
        <w:t>2.供应商有利于项目实施的其他建议（如有，请详细说明）</w:t>
      </w:r>
    </w:p>
    <w:p>
      <w:pPr>
        <w:spacing w:line="220" w:lineRule="atLeast"/>
        <w:rPr>
          <w:rFonts w:hint="eastAsia" w:ascii="宋体" w:hAnsi="宋体" w:eastAsia="宋体" w:cs="宋体"/>
          <w:sz w:val="28"/>
          <w:szCs w:val="28"/>
        </w:rPr>
      </w:pPr>
      <w:r>
        <w:rPr>
          <w:rFonts w:hint="eastAsia" w:ascii="宋体" w:hAnsi="宋体" w:eastAsia="宋体" w:cs="宋体"/>
          <w:sz w:val="28"/>
          <w:szCs w:val="28"/>
        </w:rPr>
        <w:t>3.……</w:t>
      </w:r>
    </w:p>
    <w:p>
      <w:pPr>
        <w:spacing w:line="220" w:lineRule="atLeast"/>
        <w:rPr>
          <w:rFonts w:hint="eastAsia" w:ascii="宋体" w:hAnsi="宋体" w:eastAsia="宋体" w:cs="宋体"/>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、附《公司简介》（如有）</w:t>
      </w:r>
    </w:p>
    <w:p>
      <w:pPr>
        <w:shd w:val="clea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附件：</w:t>
      </w:r>
    </w:p>
    <w:p>
      <w:pPr>
        <w:shd w:val="clea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（供应商可将相关内容以附件的形式按顺序提供）</w:t>
      </w:r>
    </w:p>
    <w:p>
      <w:pPr>
        <w:shd w:val="clear"/>
        <w:spacing w:line="440" w:lineRule="exact"/>
        <w:rPr>
          <w:rFonts w:hint="eastAsia" w:ascii="宋体" w:hAnsi="宋体" w:eastAsia="宋体" w:cs="宋体"/>
          <w:color w:val="000000" w:themeColor="text1"/>
          <w:sz w:val="24"/>
          <w:szCs w:val="28"/>
          <w14:textFill>
            <w14:solidFill>
              <w14:schemeClr w14:val="tx1"/>
            </w14:solidFill>
          </w14:textFill>
        </w:rPr>
      </w:pPr>
    </w:p>
    <w:p>
      <w:pPr>
        <w:shd w:val="clear" w:color="auto"/>
        <w:spacing w:before="0" w:beforeAutospacing="0" w:after="0" w:afterAutospacing="0"/>
        <w:rPr>
          <w:rFonts w:hint="eastAsia" w:ascii="宋体" w:hAnsi="宋体" w:eastAsia="宋体" w:cs="宋体"/>
          <w:b/>
          <w:bCs/>
          <w:color w:val="000000" w:themeColor="text1"/>
          <w:kern w:val="2"/>
          <w:sz w:val="28"/>
          <w:szCs w:val="28"/>
          <w14:textFill>
            <w14:solidFill>
              <w14:schemeClr w14:val="tx1"/>
            </w14:solidFill>
          </w14:textFill>
        </w:rPr>
      </w:pPr>
      <w:r>
        <w:rPr>
          <w:rFonts w:hint="eastAsia" w:ascii="宋体" w:hAnsi="宋体" w:eastAsia="宋体" w:cs="宋体"/>
          <w:b/>
          <w:bCs/>
          <w:color w:val="000000" w:themeColor="text1"/>
          <w:kern w:val="2"/>
          <w:sz w:val="28"/>
          <w:szCs w:val="28"/>
          <w14:textFill>
            <w14:solidFill>
              <w14:schemeClr w14:val="tx1"/>
            </w14:solidFill>
          </w14:textFill>
        </w:rPr>
        <w:t>特别说明：</w:t>
      </w:r>
    </w:p>
    <w:p>
      <w:pPr>
        <w:shd w:val="clear" w:color="auto"/>
        <w:spacing w:before="0" w:beforeAutospacing="0" w:after="0" w:afterAutospacing="0"/>
        <w:rPr>
          <w:rFonts w:hint="eastAsia" w:ascii="宋体" w:hAnsi="宋体" w:eastAsia="宋体" w:cs="宋体"/>
          <w:color w:val="000000" w:themeColor="text1"/>
          <w:kern w:val="2"/>
          <w:sz w:val="28"/>
          <w:szCs w:val="28"/>
          <w:highlight w:val="none"/>
          <w:lang w:eastAsia="zh-CN"/>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1、资料</w:t>
      </w:r>
      <w:bookmarkStart w:id="0" w:name="_GoBack"/>
      <w:r>
        <w:rPr>
          <w:rFonts w:hint="eastAsia" w:ascii="宋体" w:hAnsi="宋体" w:eastAsia="宋体" w:cs="宋体"/>
          <w:color w:val="000000" w:themeColor="text1"/>
          <w:kern w:val="2"/>
          <w:sz w:val="28"/>
          <w:szCs w:val="28"/>
          <w:highlight w:val="none"/>
          <w14:textFill>
            <w14:solidFill>
              <w14:schemeClr w14:val="tx1"/>
            </w14:solidFill>
          </w14:textFill>
        </w:rPr>
        <w:t>递交：符合资格条件的供应商请将以下资料扫描件按顺序整合成一个</w:t>
      </w:r>
      <w:r>
        <w:rPr>
          <w:rFonts w:hint="eastAsia" w:ascii="宋体" w:hAnsi="宋体" w:eastAsia="宋体" w:cs="宋体"/>
          <w:b/>
          <w:bCs/>
          <w:color w:val="000000" w:themeColor="text1"/>
          <w:kern w:val="2"/>
          <w:sz w:val="32"/>
          <w:szCs w:val="32"/>
          <w:highlight w:val="none"/>
          <w14:textFill>
            <w14:solidFill>
              <w14:schemeClr w14:val="tx1"/>
            </w14:solidFill>
          </w14:textFill>
        </w:rPr>
        <w:t>word文件及PDF文件</w:t>
      </w:r>
      <w:r>
        <w:rPr>
          <w:rFonts w:hint="eastAsia" w:ascii="宋体" w:hAnsi="宋体" w:eastAsia="宋体" w:cs="宋体"/>
          <w:color w:val="000000" w:themeColor="text1"/>
          <w:kern w:val="2"/>
          <w:sz w:val="28"/>
          <w:szCs w:val="28"/>
          <w:highlight w:val="none"/>
          <w14:textFill>
            <w14:solidFill>
              <w14:schemeClr w14:val="tx1"/>
            </w14:solidFill>
          </w14:textFill>
        </w:rPr>
        <w:t>（其中PDF文件应加盖单位公章），文件名按“两馆一场（梅州城市展览馆、梅州市科学技术馆、地上广场）购买第三方管理服务项目+供应商名称”命名并发送至邮箱：</w:t>
      </w:r>
      <w:r>
        <w:rPr>
          <w:rFonts w:hint="eastAsia" w:cs="宋体"/>
          <w:color w:val="000000" w:themeColor="text1"/>
          <w:kern w:val="2"/>
          <w:sz w:val="28"/>
          <w:szCs w:val="28"/>
          <w:highlight w:val="none"/>
          <w:lang w:val="en-US" w:eastAsia="zh-CN"/>
          <w14:textFill>
            <w14:solidFill>
              <w14:schemeClr w14:val="tx1"/>
            </w14:solidFill>
          </w14:textFill>
        </w:rPr>
        <w:t>312401223</w:t>
      </w:r>
      <w:r>
        <w:rPr>
          <w:rFonts w:hint="eastAsia" w:ascii="宋体" w:hAnsi="宋体" w:eastAsia="宋体" w:cs="宋体"/>
          <w:color w:val="000000" w:themeColor="text1"/>
          <w:kern w:val="2"/>
          <w:sz w:val="28"/>
          <w:szCs w:val="28"/>
          <w:highlight w:val="none"/>
          <w14:textFill>
            <w14:solidFill>
              <w14:schemeClr w14:val="tx1"/>
            </w14:solidFill>
          </w14:textFill>
        </w:rPr>
        <w:t>@qq.com</w:t>
      </w:r>
      <w:r>
        <w:rPr>
          <w:rFonts w:hint="eastAsia" w:cs="宋体"/>
          <w:color w:val="000000" w:themeColor="text1"/>
          <w:kern w:val="2"/>
          <w:sz w:val="28"/>
          <w:szCs w:val="28"/>
          <w:highlight w:val="none"/>
          <w:lang w:eastAsia="zh-CN"/>
          <w14:textFill>
            <w14:solidFill>
              <w14:schemeClr w14:val="tx1"/>
            </w14:solidFill>
          </w14:textFill>
        </w:rPr>
        <w:t>。</w:t>
      </w:r>
    </w:p>
    <w:p>
      <w:pPr>
        <w:shd w:val="clear" w:color="auto"/>
        <w:spacing w:before="0" w:beforeAutospacing="0" w:after="0" w:afterAutospacing="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2、资料递交截止日期：2023年</w:t>
      </w:r>
      <w:r>
        <w:rPr>
          <w:rFonts w:hint="eastAsia" w:cs="宋体"/>
          <w:color w:val="000000" w:themeColor="text1"/>
          <w:kern w:val="2"/>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cs="宋体"/>
          <w:color w:val="000000" w:themeColor="text1"/>
          <w:kern w:val="2"/>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kern w:val="2"/>
          <w:sz w:val="28"/>
          <w:szCs w:val="28"/>
          <w:highlight w:val="none"/>
          <w14:textFill>
            <w14:solidFill>
              <w14:schemeClr w14:val="tx1"/>
            </w14:solidFill>
          </w14:textFill>
        </w:rPr>
        <w:t>日17:30。逾期或者未按照要求递交资料，不予受理。</w:t>
      </w:r>
    </w:p>
    <w:p>
      <w:pPr>
        <w:shd w:val="clear" w:color="auto"/>
        <w:spacing w:before="0" w:beforeAutospacing="0" w:after="0" w:afterAutospacing="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3、联系方式</w:t>
      </w:r>
    </w:p>
    <w:p>
      <w:pPr>
        <w:shd w:val="clear" w:color="auto"/>
        <w:spacing w:before="0" w:beforeAutospacing="0" w:after="0" w:afterAutospacing="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联系人：</w:t>
      </w:r>
      <w:r>
        <w:rPr>
          <w:rFonts w:hint="eastAsia" w:cs="宋体"/>
          <w:color w:val="000000" w:themeColor="text1"/>
          <w:kern w:val="2"/>
          <w:sz w:val="28"/>
          <w:szCs w:val="28"/>
          <w:highlight w:val="none"/>
          <w:lang w:val="en-US" w:eastAsia="zh-CN"/>
          <w14:textFill>
            <w14:solidFill>
              <w14:schemeClr w14:val="tx1"/>
            </w14:solidFill>
          </w14:textFill>
        </w:rPr>
        <w:t>余先生</w:t>
      </w:r>
    </w:p>
    <w:p>
      <w:pPr>
        <w:shd w:val="clear" w:color="auto"/>
        <w:spacing w:before="0" w:beforeAutospacing="0" w:after="0" w:afterAutospacing="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联系电话：</w:t>
      </w:r>
      <w:r>
        <w:rPr>
          <w:rFonts w:hint="eastAsia" w:cs="宋体"/>
          <w:color w:val="000000" w:themeColor="text1"/>
          <w:kern w:val="2"/>
          <w:sz w:val="28"/>
          <w:szCs w:val="28"/>
          <w:highlight w:val="none"/>
          <w:lang w:val="en-US" w:eastAsia="zh-CN"/>
          <w14:textFill>
            <w14:solidFill>
              <w14:schemeClr w14:val="tx1"/>
            </w14:solidFill>
          </w14:textFill>
        </w:rPr>
        <w:t>18125525538</w:t>
      </w:r>
    </w:p>
    <w:bookmarkEnd w:id="0"/>
    <w:sectPr>
      <w:pgSz w:w="16838" w:h="11906" w:orient="landscape"/>
      <w:pgMar w:top="1066" w:right="1213" w:bottom="1066" w:left="121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ZGJkZWUwYWQ2MzVhZjNmNWFhYmQ0ZDAwNzVlNTUifQ=="/>
  </w:docVars>
  <w:rsids>
    <w:rsidRoot w:val="00E50788"/>
    <w:rsid w:val="00001AB2"/>
    <w:rsid w:val="00016C5A"/>
    <w:rsid w:val="0004484A"/>
    <w:rsid w:val="00045E36"/>
    <w:rsid w:val="00046B38"/>
    <w:rsid w:val="00053811"/>
    <w:rsid w:val="00060A37"/>
    <w:rsid w:val="000659C7"/>
    <w:rsid w:val="00076A97"/>
    <w:rsid w:val="000839EF"/>
    <w:rsid w:val="000964F3"/>
    <w:rsid w:val="000D41DB"/>
    <w:rsid w:val="000D5579"/>
    <w:rsid w:val="000F682F"/>
    <w:rsid w:val="0010538C"/>
    <w:rsid w:val="00123A2A"/>
    <w:rsid w:val="00127927"/>
    <w:rsid w:val="001535D2"/>
    <w:rsid w:val="00157229"/>
    <w:rsid w:val="00165256"/>
    <w:rsid w:val="00191D51"/>
    <w:rsid w:val="00193B88"/>
    <w:rsid w:val="00196C8F"/>
    <w:rsid w:val="001A1FBF"/>
    <w:rsid w:val="001B5D6B"/>
    <w:rsid w:val="001B773C"/>
    <w:rsid w:val="001C1898"/>
    <w:rsid w:val="001C57C6"/>
    <w:rsid w:val="001E780E"/>
    <w:rsid w:val="001F6FF2"/>
    <w:rsid w:val="002158A1"/>
    <w:rsid w:val="00234106"/>
    <w:rsid w:val="00235756"/>
    <w:rsid w:val="00255657"/>
    <w:rsid w:val="00280B54"/>
    <w:rsid w:val="00284D75"/>
    <w:rsid w:val="002E0263"/>
    <w:rsid w:val="00331820"/>
    <w:rsid w:val="00357174"/>
    <w:rsid w:val="00385D0C"/>
    <w:rsid w:val="003951A3"/>
    <w:rsid w:val="003A245D"/>
    <w:rsid w:val="003A55DC"/>
    <w:rsid w:val="003C74F3"/>
    <w:rsid w:val="003D7564"/>
    <w:rsid w:val="003E42CB"/>
    <w:rsid w:val="003F2563"/>
    <w:rsid w:val="003F279A"/>
    <w:rsid w:val="00422C1F"/>
    <w:rsid w:val="00441E4A"/>
    <w:rsid w:val="00486050"/>
    <w:rsid w:val="00486C88"/>
    <w:rsid w:val="00495ADC"/>
    <w:rsid w:val="00495DF3"/>
    <w:rsid w:val="004A27F9"/>
    <w:rsid w:val="004C254E"/>
    <w:rsid w:val="004D6AB6"/>
    <w:rsid w:val="00511256"/>
    <w:rsid w:val="005174FF"/>
    <w:rsid w:val="005212BC"/>
    <w:rsid w:val="005408AB"/>
    <w:rsid w:val="00546FAD"/>
    <w:rsid w:val="005545E5"/>
    <w:rsid w:val="005818BB"/>
    <w:rsid w:val="005B0ECC"/>
    <w:rsid w:val="005B2D7B"/>
    <w:rsid w:val="005B55B0"/>
    <w:rsid w:val="005C00EB"/>
    <w:rsid w:val="005E0FA8"/>
    <w:rsid w:val="005E4603"/>
    <w:rsid w:val="005E52B7"/>
    <w:rsid w:val="005F22A7"/>
    <w:rsid w:val="00604E25"/>
    <w:rsid w:val="006057A4"/>
    <w:rsid w:val="00630116"/>
    <w:rsid w:val="006322C0"/>
    <w:rsid w:val="00640D7D"/>
    <w:rsid w:val="0065079F"/>
    <w:rsid w:val="00662EAE"/>
    <w:rsid w:val="00667350"/>
    <w:rsid w:val="00672F11"/>
    <w:rsid w:val="00676C31"/>
    <w:rsid w:val="0068770A"/>
    <w:rsid w:val="00687B10"/>
    <w:rsid w:val="006D123B"/>
    <w:rsid w:val="00702CE2"/>
    <w:rsid w:val="00707D7C"/>
    <w:rsid w:val="00720404"/>
    <w:rsid w:val="00751AAC"/>
    <w:rsid w:val="00762069"/>
    <w:rsid w:val="007646B6"/>
    <w:rsid w:val="00772946"/>
    <w:rsid w:val="00777986"/>
    <w:rsid w:val="007A3FFA"/>
    <w:rsid w:val="007B037D"/>
    <w:rsid w:val="007B41C8"/>
    <w:rsid w:val="007C1140"/>
    <w:rsid w:val="007C3707"/>
    <w:rsid w:val="007C5C7D"/>
    <w:rsid w:val="007C7EE4"/>
    <w:rsid w:val="007D43C7"/>
    <w:rsid w:val="007D5C5D"/>
    <w:rsid w:val="008044DD"/>
    <w:rsid w:val="00812086"/>
    <w:rsid w:val="00837412"/>
    <w:rsid w:val="0085413C"/>
    <w:rsid w:val="00855ED1"/>
    <w:rsid w:val="00872D40"/>
    <w:rsid w:val="008A70D1"/>
    <w:rsid w:val="008B6E3C"/>
    <w:rsid w:val="008D33C4"/>
    <w:rsid w:val="008F1510"/>
    <w:rsid w:val="008F2DB3"/>
    <w:rsid w:val="0091618D"/>
    <w:rsid w:val="00916B4E"/>
    <w:rsid w:val="00921D67"/>
    <w:rsid w:val="00945C6A"/>
    <w:rsid w:val="00957CA5"/>
    <w:rsid w:val="00985D4D"/>
    <w:rsid w:val="00994E72"/>
    <w:rsid w:val="009A5B88"/>
    <w:rsid w:val="009B2183"/>
    <w:rsid w:val="009B3DEC"/>
    <w:rsid w:val="009B534D"/>
    <w:rsid w:val="009D73EC"/>
    <w:rsid w:val="009E3AF9"/>
    <w:rsid w:val="009E5511"/>
    <w:rsid w:val="00A02082"/>
    <w:rsid w:val="00A03B61"/>
    <w:rsid w:val="00A1094F"/>
    <w:rsid w:val="00A30B7C"/>
    <w:rsid w:val="00A31CE8"/>
    <w:rsid w:val="00A33BE1"/>
    <w:rsid w:val="00A56259"/>
    <w:rsid w:val="00A56E02"/>
    <w:rsid w:val="00A60224"/>
    <w:rsid w:val="00A77359"/>
    <w:rsid w:val="00A904D5"/>
    <w:rsid w:val="00AD3FE1"/>
    <w:rsid w:val="00AF0637"/>
    <w:rsid w:val="00B07ABE"/>
    <w:rsid w:val="00B170B4"/>
    <w:rsid w:val="00B22940"/>
    <w:rsid w:val="00B262BD"/>
    <w:rsid w:val="00B27B6D"/>
    <w:rsid w:val="00B30601"/>
    <w:rsid w:val="00B43986"/>
    <w:rsid w:val="00B652C3"/>
    <w:rsid w:val="00B869B1"/>
    <w:rsid w:val="00BA2F70"/>
    <w:rsid w:val="00BA58AF"/>
    <w:rsid w:val="00BB065D"/>
    <w:rsid w:val="00C119AA"/>
    <w:rsid w:val="00C16347"/>
    <w:rsid w:val="00C268AA"/>
    <w:rsid w:val="00C56938"/>
    <w:rsid w:val="00C61743"/>
    <w:rsid w:val="00C67170"/>
    <w:rsid w:val="00C75E46"/>
    <w:rsid w:val="00C8257A"/>
    <w:rsid w:val="00CA66CC"/>
    <w:rsid w:val="00CB2F1F"/>
    <w:rsid w:val="00CD1490"/>
    <w:rsid w:val="00D213A9"/>
    <w:rsid w:val="00D3165B"/>
    <w:rsid w:val="00D6213D"/>
    <w:rsid w:val="00D66EE2"/>
    <w:rsid w:val="00D749B2"/>
    <w:rsid w:val="00D86E75"/>
    <w:rsid w:val="00DC2D32"/>
    <w:rsid w:val="00DD0D3B"/>
    <w:rsid w:val="00DE39CB"/>
    <w:rsid w:val="00DF4719"/>
    <w:rsid w:val="00DF6CA3"/>
    <w:rsid w:val="00E12662"/>
    <w:rsid w:val="00E25E80"/>
    <w:rsid w:val="00E34C66"/>
    <w:rsid w:val="00E44190"/>
    <w:rsid w:val="00E50788"/>
    <w:rsid w:val="00E64DCD"/>
    <w:rsid w:val="00E7113D"/>
    <w:rsid w:val="00E82254"/>
    <w:rsid w:val="00E85F31"/>
    <w:rsid w:val="00EA398A"/>
    <w:rsid w:val="00EA76A4"/>
    <w:rsid w:val="00EB5530"/>
    <w:rsid w:val="00EC6FBB"/>
    <w:rsid w:val="00ED057F"/>
    <w:rsid w:val="00EF441E"/>
    <w:rsid w:val="00F06660"/>
    <w:rsid w:val="00F15433"/>
    <w:rsid w:val="00F16291"/>
    <w:rsid w:val="00F17E41"/>
    <w:rsid w:val="00F241EE"/>
    <w:rsid w:val="00F265F2"/>
    <w:rsid w:val="00F405A6"/>
    <w:rsid w:val="00F56583"/>
    <w:rsid w:val="00F832CA"/>
    <w:rsid w:val="00F955FF"/>
    <w:rsid w:val="00FA0E89"/>
    <w:rsid w:val="00FA1BF2"/>
    <w:rsid w:val="00FA6781"/>
    <w:rsid w:val="00FB27BC"/>
    <w:rsid w:val="00FB4E8E"/>
    <w:rsid w:val="00FB5E8C"/>
    <w:rsid w:val="00FD7BAD"/>
    <w:rsid w:val="00FE157B"/>
    <w:rsid w:val="01956DCE"/>
    <w:rsid w:val="03295522"/>
    <w:rsid w:val="03B35E2A"/>
    <w:rsid w:val="04CB4231"/>
    <w:rsid w:val="06724A27"/>
    <w:rsid w:val="07ED4792"/>
    <w:rsid w:val="0BE57AF7"/>
    <w:rsid w:val="0E1A19C6"/>
    <w:rsid w:val="100E76C7"/>
    <w:rsid w:val="160168A4"/>
    <w:rsid w:val="1F635008"/>
    <w:rsid w:val="21CA7D36"/>
    <w:rsid w:val="22F10EAE"/>
    <w:rsid w:val="2B7B4367"/>
    <w:rsid w:val="31274002"/>
    <w:rsid w:val="32D614D7"/>
    <w:rsid w:val="347A2404"/>
    <w:rsid w:val="35006AD2"/>
    <w:rsid w:val="35125307"/>
    <w:rsid w:val="390A7359"/>
    <w:rsid w:val="3A630125"/>
    <w:rsid w:val="3B981E72"/>
    <w:rsid w:val="3BED484B"/>
    <w:rsid w:val="47C37366"/>
    <w:rsid w:val="491E6570"/>
    <w:rsid w:val="4D20220D"/>
    <w:rsid w:val="4DC50732"/>
    <w:rsid w:val="51A352BC"/>
    <w:rsid w:val="51AA02C6"/>
    <w:rsid w:val="52383EDA"/>
    <w:rsid w:val="527B2453"/>
    <w:rsid w:val="54AB2852"/>
    <w:rsid w:val="593C1E9B"/>
    <w:rsid w:val="600A4D82"/>
    <w:rsid w:val="604A400F"/>
    <w:rsid w:val="60A73C91"/>
    <w:rsid w:val="60CF72F1"/>
    <w:rsid w:val="616C13D6"/>
    <w:rsid w:val="62483940"/>
    <w:rsid w:val="645542B1"/>
    <w:rsid w:val="65551F1E"/>
    <w:rsid w:val="67A52048"/>
    <w:rsid w:val="68344C7B"/>
    <w:rsid w:val="6F6A3C2E"/>
    <w:rsid w:val="72001416"/>
    <w:rsid w:val="73E41A6B"/>
    <w:rsid w:val="749C113B"/>
    <w:rsid w:val="77527A03"/>
    <w:rsid w:val="77611433"/>
    <w:rsid w:val="78EC2B98"/>
    <w:rsid w:val="7AE07FE7"/>
    <w:rsid w:val="7C254E34"/>
    <w:rsid w:val="7C770276"/>
    <w:rsid w:val="7D5A040C"/>
    <w:rsid w:val="7DDC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1"/>
      <w:sz w:val="21"/>
      <w:szCs w:val="22"/>
      <w:lang w:val="en-US" w:eastAsia="zh-CN" w:bidi="ar-SA"/>
    </w:rPr>
  </w:style>
  <w:style w:type="paragraph" w:styleId="4">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next w:val="1"/>
    <w:qFormat/>
    <w:uiPriority w:val="0"/>
    <w:pPr>
      <w:ind w:firstLine="645"/>
    </w:pPr>
    <w:rPr>
      <w:rFonts w:ascii="黑体" w:eastAsia="黑体"/>
      <w:sz w:val="32"/>
    </w:rPr>
  </w:style>
  <w:style w:type="paragraph" w:styleId="5">
    <w:name w:val="Normal Indent"/>
    <w:basedOn w:val="1"/>
    <w:qFormat/>
    <w:uiPriority w:val="0"/>
    <w:pPr>
      <w:ind w:firstLine="420" w:firstLine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133</Words>
  <Characters>761</Characters>
  <Lines>6</Lines>
  <Paragraphs>1</Paragraphs>
  <TotalTime>2</TotalTime>
  <ScaleCrop>false</ScaleCrop>
  <LinksUpToDate>false</LinksUpToDate>
  <CharactersWithSpaces>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2021-12-17T08:45:00Z</dcterms:created>
  <dc:creator>华伦</dc:creator>
  <cp:lastModifiedBy>Thomas</cp:lastModifiedBy>
  <cp:lastPrinted>2021-12-30T03:22:00Z</cp:lastPrinted>
  <dcterms:modified xsi:type="dcterms:W3CDTF">2023-11-13T06:44:42Z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1D23F9487F214AF594B6F295C2B67A74</vt:lpwstr>
  </property>
</Properties>
</file>