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sz w:val="32"/>
          <w:szCs w:val="32"/>
        </w:rPr>
      </w:pPr>
      <w:r>
        <w:rPr>
          <w:rFonts w:hint="eastAsia" w:ascii="宋体" w:hAnsi="宋体" w:eastAsia="宋体" w:cs="宋体"/>
          <w:b/>
          <w:bCs/>
          <w:color w:val="000000"/>
          <w:kern w:val="0"/>
          <w:sz w:val="32"/>
          <w:szCs w:val="32"/>
          <w:lang w:val="en-US" w:eastAsia="zh-CN" w:bidi="ar"/>
        </w:rPr>
        <w:t>其他需要说明的事项</w:t>
      </w:r>
    </w:p>
    <w:p>
      <w:pPr>
        <w:keepNext w:val="0"/>
        <w:keepLines w:val="0"/>
        <w:widowControl/>
        <w:suppressLineNumbers w:val="0"/>
        <w:spacing w:line="360" w:lineRule="auto"/>
        <w:jc w:val="left"/>
        <w:rPr>
          <w:rFonts w:hint="default" w:ascii="Times New Roman" w:hAnsi="Times New Roman" w:cs="Times New Roman"/>
          <w:sz w:val="28"/>
          <w:szCs w:val="28"/>
        </w:rPr>
      </w:pPr>
      <w:r>
        <w:rPr>
          <w:rFonts w:hint="default" w:ascii="Times New Roman" w:hAnsi="Times New Roman" w:eastAsia="宋体" w:cs="Times New Roman"/>
          <w:b/>
          <w:bCs/>
          <w:color w:val="000000"/>
          <w:kern w:val="0"/>
          <w:sz w:val="28"/>
          <w:szCs w:val="28"/>
          <w:lang w:val="en-US" w:eastAsia="zh-CN" w:bidi="ar"/>
        </w:rPr>
        <w:t>1 环境保护设施设计、施工和验收过程简况</w:t>
      </w:r>
    </w:p>
    <w:p>
      <w:pPr>
        <w:keepNext w:val="0"/>
        <w:keepLines w:val="0"/>
        <w:widowControl/>
        <w:numPr>
          <w:ilvl w:val="1"/>
          <w:numId w:val="1"/>
        </w:numPr>
        <w:suppressLineNumbers w:val="0"/>
        <w:spacing w:line="360" w:lineRule="auto"/>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设计简况</w:t>
      </w:r>
    </w:p>
    <w:p>
      <w:pPr>
        <w:keepNext w:val="0"/>
        <w:keepLines w:val="0"/>
        <w:widowControl/>
        <w:numPr>
          <w:numId w:val="0"/>
        </w:numPr>
        <w:suppressLineNumbers w:val="0"/>
        <w:spacing w:line="360" w:lineRule="auto"/>
        <w:ind w:leftChars="0" w:firstLine="480" w:firstLineChars="20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本项目环境保护设施设计单位为浙江新凯检测技术有限公司。</w:t>
      </w:r>
    </w:p>
    <w:p>
      <w:pPr>
        <w:keepNext w:val="0"/>
        <w:keepLines w:val="0"/>
        <w:widowControl/>
        <w:numPr>
          <w:numId w:val="0"/>
        </w:numPr>
        <w:suppressLineNumbers w:val="0"/>
        <w:spacing w:line="360" w:lineRule="auto"/>
        <w:ind w:leftChars="0" w:firstLine="480" w:firstLineChars="200"/>
        <w:jc w:val="left"/>
        <w:rPr>
          <w:rFonts w:hint="default" w:ascii="Times New Roman" w:hAnsi="Times New Roman" w:eastAsia="宋体" w:cs="Times New Roman"/>
          <w:caps w:val="0"/>
          <w:color w:val="auto"/>
          <w:sz w:val="24"/>
          <w:szCs w:val="24"/>
          <w:lang w:eastAsia="zh-CN"/>
        </w:rPr>
      </w:pPr>
      <w:r>
        <w:rPr>
          <w:rFonts w:hint="default" w:ascii="Times New Roman" w:hAnsi="Times New Roman" w:eastAsia="宋体" w:cs="Times New Roman"/>
          <w:caps w:val="0"/>
          <w:color w:val="auto"/>
          <w:sz w:val="24"/>
          <w:szCs w:val="24"/>
          <w:lang w:eastAsia="zh-CN"/>
        </w:rPr>
        <w:t>浙江新正源科技有限公司已落实了环评文件中关于环境保护设施投资的概算。</w:t>
      </w:r>
    </w:p>
    <w:p>
      <w:pPr>
        <w:keepNext w:val="0"/>
        <w:keepLines w:val="0"/>
        <w:widowControl/>
        <w:numPr>
          <w:ilvl w:val="1"/>
          <w:numId w:val="1"/>
        </w:numPr>
        <w:suppressLineNumbers w:val="0"/>
        <w:spacing w:line="360" w:lineRule="auto"/>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施工简况</w:t>
      </w:r>
    </w:p>
    <w:p>
      <w:pPr>
        <w:keepNext w:val="0"/>
        <w:keepLines w:val="0"/>
        <w:widowControl/>
        <w:numPr>
          <w:numId w:val="0"/>
        </w:numPr>
        <w:suppressLineNumbers w:val="0"/>
        <w:spacing w:line="360" w:lineRule="auto"/>
        <w:ind w:leftChars="0" w:firstLine="480" w:firstLineChars="20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本项目环境保护设施施工单位为</w:t>
      </w:r>
      <w:r>
        <w:rPr>
          <w:rFonts w:hint="default" w:ascii="Times New Roman" w:hAnsi="Times New Roman" w:eastAsia="宋体" w:cs="Times New Roman"/>
          <w:b w:val="0"/>
          <w:bCs w:val="0"/>
          <w:color w:val="000000"/>
          <w:kern w:val="0"/>
          <w:sz w:val="24"/>
          <w:szCs w:val="24"/>
          <w:lang w:val="en-US" w:eastAsia="zh-CN" w:bidi="ar"/>
        </w:rPr>
        <w:t>浙江新凯检测技术有限公司，落实了环境影响报告表及其审批部门审批决定中提出的环境保护对策措施</w:t>
      </w:r>
      <w:r>
        <w:rPr>
          <w:rFonts w:hint="default" w:ascii="Times New Roman" w:hAnsi="Times New Roman" w:eastAsia="宋体" w:cs="Times New Roman"/>
          <w:b w:val="0"/>
          <w:bCs w:val="0"/>
          <w:color w:val="000000"/>
          <w:kern w:val="0"/>
          <w:sz w:val="24"/>
          <w:szCs w:val="24"/>
          <w:lang w:val="en-US" w:eastAsia="zh-CN" w:bidi="ar"/>
        </w:rPr>
        <w:t>。</w:t>
      </w:r>
    </w:p>
    <w:p>
      <w:pPr>
        <w:keepNext w:val="0"/>
        <w:keepLines w:val="0"/>
        <w:widowControl/>
        <w:numPr>
          <w:ilvl w:val="1"/>
          <w:numId w:val="1"/>
        </w:numPr>
        <w:suppressLineNumbers w:val="0"/>
        <w:spacing w:line="360" w:lineRule="auto"/>
        <w:jc w:val="left"/>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验收过程简况</w:t>
      </w:r>
    </w:p>
    <w:p>
      <w:pPr>
        <w:keepNext w:val="0"/>
        <w:keepLines w:val="0"/>
        <w:widowControl/>
        <w:numPr>
          <w:numId w:val="0"/>
        </w:numPr>
        <w:suppressLineNumbers w:val="0"/>
        <w:spacing w:line="360" w:lineRule="auto"/>
        <w:ind w:leftChars="0" w:firstLine="480" w:firstLineChars="20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建设项目竣工时间：2022年11月20日</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widowControl/>
        <w:numPr>
          <w:numId w:val="0"/>
        </w:numPr>
        <w:suppressLineNumbers w:val="0"/>
        <w:spacing w:line="360" w:lineRule="auto"/>
        <w:ind w:leftChars="0" w:firstLine="480" w:firstLineChars="200"/>
        <w:jc w:val="left"/>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验收工作启动时间：2022年12月01日</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自主验收方式：</w:t>
      </w:r>
      <w:r>
        <w:rPr>
          <w:rFonts w:hint="eastAsia" w:ascii="Times New Roman" w:hAnsi="Times New Roman" w:eastAsia="宋体" w:cs="Times New Roman"/>
          <w:b w:val="0"/>
          <w:bCs w:val="0"/>
          <w:color w:val="000000"/>
          <w:kern w:val="0"/>
          <w:sz w:val="24"/>
          <w:szCs w:val="24"/>
          <w:lang w:val="en-US" w:eastAsia="zh-CN" w:bidi="ar"/>
        </w:rPr>
        <w:t>验收报告委托杭州卫康环保科技有限公司编制</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验收监测报告表完成时间：</w:t>
      </w:r>
      <w:r>
        <w:rPr>
          <w:rFonts w:hint="eastAsia" w:ascii="Times New Roman" w:hAnsi="Times New Roman" w:eastAsia="宋体" w:cs="Times New Roman"/>
          <w:b w:val="0"/>
          <w:bCs w:val="0"/>
          <w:color w:val="000000"/>
          <w:kern w:val="0"/>
          <w:sz w:val="24"/>
          <w:szCs w:val="24"/>
          <w:lang w:val="en-US" w:eastAsia="zh-CN" w:bidi="ar"/>
        </w:rPr>
        <w:t>2023年02月</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提出验收意见的方式和时间：邀请验收监测报告（表）编制单位、验收监测</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单位、技术专家成立验收工作组，2023年02月10日</w:t>
      </w:r>
      <w:r>
        <w:rPr>
          <w:rFonts w:hint="eastAsia" w:ascii="Times New Roman" w:hAnsi="Times New Roman" w:eastAsia="宋体" w:cs="Times New Roman"/>
          <w:b w:val="0"/>
          <w:bCs w:val="0"/>
          <w:color w:val="000000"/>
          <w:kern w:val="0"/>
          <w:sz w:val="24"/>
          <w:szCs w:val="24"/>
          <w:lang w:val="en-US" w:eastAsia="zh-CN" w:bidi="ar"/>
        </w:rPr>
        <w:t>。</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验收意见的结论：同意通过竣工环境保护验收。</w:t>
      </w:r>
    </w:p>
    <w:p>
      <w:pPr>
        <w:keepNext w:val="0"/>
        <w:keepLines w:val="0"/>
        <w:widowControl/>
        <w:numPr>
          <w:ilvl w:val="1"/>
          <w:numId w:val="1"/>
        </w:numPr>
        <w:suppressLineNumbers w:val="0"/>
        <w:spacing w:line="360" w:lineRule="auto"/>
        <w:jc w:val="left"/>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公众反馈意见及处理情况</w:t>
      </w:r>
    </w:p>
    <w:p>
      <w:pPr>
        <w:keepNext w:val="0"/>
        <w:keepLines w:val="0"/>
        <w:widowControl/>
        <w:numPr>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建设项目验收期间未收到过公众反馈意见或投诉。</w:t>
      </w:r>
    </w:p>
    <w:p>
      <w:pPr>
        <w:keepNext w:val="0"/>
        <w:keepLines w:val="0"/>
        <w:widowControl/>
        <w:suppressLineNumbers w:val="0"/>
        <w:spacing w:line="360" w:lineRule="auto"/>
        <w:jc w:val="left"/>
        <w:rPr>
          <w:rFonts w:hint="eastAsia" w:ascii="Times New Roman" w:hAnsi="Times New Roman" w:eastAsia="宋体" w:cs="Times New Roman"/>
          <w:b/>
          <w:bCs/>
          <w:color w:val="000000"/>
          <w:kern w:val="0"/>
          <w:sz w:val="28"/>
          <w:szCs w:val="28"/>
          <w:lang w:val="en-US" w:eastAsia="zh-CN" w:bidi="ar"/>
        </w:rPr>
      </w:pPr>
      <w:r>
        <w:rPr>
          <w:rFonts w:hint="eastAsia" w:ascii="Times New Roman" w:hAnsi="Times New Roman" w:eastAsia="宋体" w:cs="Times New Roman"/>
          <w:b/>
          <w:bCs/>
          <w:color w:val="000000"/>
          <w:kern w:val="0"/>
          <w:sz w:val="28"/>
          <w:szCs w:val="28"/>
          <w:lang w:val="en-US" w:eastAsia="zh-CN" w:bidi="ar"/>
        </w:rPr>
        <w:t>2 其他环境保护措施的落实情况</w:t>
      </w:r>
    </w:p>
    <w:p>
      <w:pPr>
        <w:keepNext w:val="0"/>
        <w:keepLines w:val="0"/>
        <w:widowControl/>
        <w:numPr>
          <w:numId w:val="0"/>
        </w:numPr>
        <w:suppressLineNumbers w:val="0"/>
        <w:spacing w:line="360" w:lineRule="auto"/>
        <w:ind w:leftChars="0"/>
        <w:jc w:val="left"/>
        <w:rPr>
          <w:rFonts w:hint="eastAsia" w:ascii="Times New Roman" w:hAnsi="Times New Roman" w:eastAsia="宋体" w:cs="Times New Roman"/>
          <w:b/>
          <w:bCs/>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2.1 制度措施落实情况</w:t>
      </w:r>
    </w:p>
    <w:p>
      <w:pPr>
        <w:keepNext w:val="0"/>
        <w:keepLines w:val="0"/>
        <w:widowControl/>
        <w:numPr>
          <w:ilvl w:val="0"/>
          <w:numId w:val="0"/>
        </w:numPr>
        <w:suppressLineNumbers w:val="0"/>
        <w:spacing w:line="360" w:lineRule="auto"/>
        <w:ind w:leftChars="0" w:firstLine="480" w:firstLineChars="200"/>
        <w:jc w:val="left"/>
        <w:rPr>
          <w:rFonts w:hint="eastAsia" w:ascii="Times New Roman" w:hAnsi="Times New Roman" w:eastAsia="宋体" w:cs="Times New Roman"/>
          <w:b w:val="0"/>
          <w:bCs w:val="0"/>
          <w:color w:val="000000"/>
          <w:kern w:val="0"/>
          <w:sz w:val="24"/>
          <w:szCs w:val="24"/>
          <w:lang w:val="en-US" w:eastAsia="zh-CN" w:bidi="ar"/>
        </w:rPr>
      </w:pPr>
      <w:r>
        <w:rPr>
          <w:rFonts w:hint="eastAsia" w:ascii="Times New Roman" w:hAnsi="Times New Roman" w:eastAsia="宋体" w:cs="Times New Roman"/>
          <w:b w:val="0"/>
          <w:bCs w:val="0"/>
          <w:color w:val="000000"/>
          <w:kern w:val="0"/>
          <w:sz w:val="24"/>
          <w:szCs w:val="24"/>
          <w:lang w:val="en-US" w:eastAsia="zh-CN" w:bidi="ar"/>
        </w:rPr>
        <w:t>（1）环保组织机构及规章制度</w:t>
      </w:r>
    </w:p>
    <w:p>
      <w:pPr>
        <w:keepNext w:val="0"/>
        <w:keepLines w:val="0"/>
        <w:widowControl/>
        <w:numPr>
          <w:ilvl w:val="0"/>
          <w:numId w:val="0"/>
        </w:numPr>
        <w:suppressLineNumbers w:val="0"/>
        <w:spacing w:line="360" w:lineRule="auto"/>
        <w:ind w:leftChars="0" w:firstLine="480" w:firstLineChars="200"/>
        <w:jc w:val="left"/>
        <w:rPr>
          <w:rFonts w:hint="default" w:ascii="Times New Roman" w:hAnsi="Times New Roman" w:cs="Times New Roman"/>
          <w:color w:val="auto"/>
          <w:sz w:val="24"/>
          <w:lang w:val="en-US" w:eastAsia="zh-CN"/>
        </w:rPr>
      </w:pPr>
      <w:r>
        <w:rPr>
          <w:rFonts w:hint="eastAsia" w:ascii="Times New Roman" w:hAnsi="Times New Roman" w:eastAsia="宋体" w:cs="Times New Roman"/>
          <w:b w:val="0"/>
          <w:bCs w:val="0"/>
          <w:color w:val="000000"/>
          <w:kern w:val="0"/>
          <w:sz w:val="24"/>
          <w:szCs w:val="24"/>
          <w:lang w:val="en-US" w:eastAsia="zh-CN" w:bidi="ar"/>
        </w:rPr>
        <w:t>成立了辐射防护安全管理小组，</w:t>
      </w:r>
      <w:r>
        <w:rPr>
          <w:rFonts w:hint="default" w:ascii="Times New Roman" w:hAnsi="Times New Roman" w:cs="Times New Roman"/>
          <w:color w:val="auto"/>
          <w:sz w:val="24"/>
          <w:lang w:val="en-US" w:eastAsia="zh-CN"/>
        </w:rPr>
        <w:t>制订</w:t>
      </w:r>
      <w:r>
        <w:rPr>
          <w:rFonts w:hint="eastAsia" w:ascii="Times New Roman" w:hAnsi="Times New Roman" w:cs="Times New Roman"/>
          <w:color w:val="auto"/>
          <w:sz w:val="24"/>
          <w:lang w:val="en-US" w:eastAsia="zh-CN"/>
        </w:rPr>
        <w:t>了</w:t>
      </w:r>
      <w:r>
        <w:rPr>
          <w:rFonts w:hint="default" w:ascii="Times New Roman" w:hAnsi="Times New Roman" w:cs="Times New Roman"/>
          <w:color w:val="auto"/>
          <w:sz w:val="24"/>
          <w:lang w:val="en-US" w:eastAsia="zh-CN"/>
        </w:rPr>
        <w:t>《操作规程》</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w:t>
      </w:r>
      <w:r>
        <w:rPr>
          <w:rFonts w:hint="eastAsia" w:cs="Times New Roman"/>
          <w:color w:val="auto"/>
          <w:sz w:val="24"/>
          <w:lang w:val="en-US" w:eastAsia="zh-CN"/>
        </w:rPr>
        <w:t>辐射防护措施</w:t>
      </w:r>
      <w:r>
        <w:rPr>
          <w:rFonts w:hint="default" w:ascii="Times New Roman" w:hAnsi="Times New Roman" w:cs="Times New Roman"/>
          <w:color w:val="auto"/>
          <w:sz w:val="24"/>
          <w:lang w:val="en-US" w:eastAsia="zh-CN"/>
        </w:rPr>
        <w:t>》、《</w:t>
      </w:r>
      <w:r>
        <w:rPr>
          <w:rFonts w:hint="eastAsia" w:cs="Times New Roman"/>
          <w:color w:val="auto"/>
          <w:sz w:val="24"/>
          <w:lang w:val="en-US" w:eastAsia="zh-CN"/>
        </w:rPr>
        <w:t>辐射工作安全责任书</w:t>
      </w:r>
      <w:r>
        <w:rPr>
          <w:rFonts w:hint="default" w:ascii="Times New Roman" w:hAnsi="Times New Roman" w:cs="Times New Roman"/>
          <w:color w:val="auto"/>
          <w:sz w:val="24"/>
          <w:lang w:val="en-US" w:eastAsia="zh-CN"/>
        </w:rPr>
        <w:t>》、《使用场所安全措施》、《岗位职责》、《设备检修维护制度》、《</w:t>
      </w:r>
      <w:r>
        <w:rPr>
          <w:rFonts w:hint="eastAsia" w:cs="Times New Roman"/>
          <w:color w:val="auto"/>
          <w:sz w:val="24"/>
          <w:lang w:val="en-US" w:eastAsia="zh-CN"/>
        </w:rPr>
        <w:t>事故应急措施</w:t>
      </w:r>
      <w:r>
        <w:rPr>
          <w:rFonts w:hint="default" w:ascii="Times New Roman" w:hAnsi="Times New Roman" w:cs="Times New Roman"/>
          <w:color w:val="auto"/>
          <w:sz w:val="24"/>
          <w:lang w:val="en-US" w:eastAsia="zh-CN"/>
        </w:rPr>
        <w:t>》</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《人员培训计划》</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《监测方案》等相关管理制度，各项管理制度、操作规程等已张帖在工作场所墙上。</w:t>
      </w:r>
    </w:p>
    <w:p>
      <w:pPr>
        <w:keepNext w:val="0"/>
        <w:keepLines w:val="0"/>
        <w:widowControl/>
        <w:numPr>
          <w:ilvl w:val="0"/>
          <w:numId w:val="0"/>
        </w:numPr>
        <w:suppressLineNumbers w:val="0"/>
        <w:spacing w:line="360" w:lineRule="auto"/>
        <w:ind w:leftChars="0"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（2）环境风险防范措施</w:t>
      </w:r>
    </w:p>
    <w:p>
      <w:pPr>
        <w:keepNext w:val="0"/>
        <w:keepLines w:val="0"/>
        <w:widowControl/>
        <w:numPr>
          <w:ilvl w:val="0"/>
          <w:numId w:val="0"/>
        </w:numPr>
        <w:suppressLineNumbers w:val="0"/>
        <w:spacing w:line="360" w:lineRule="auto"/>
        <w:ind w:leftChars="0"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建设单位制定了《辐射事故应急预案》，内容包括：组织机构及职责，应急人员的组织、培训以及装备，可能发生辐射事故类别与应急响应措施，辐射事故报告制度，应急终止和恢复，联系电话。</w:t>
      </w:r>
    </w:p>
    <w:p>
      <w:pPr>
        <w:keepNext w:val="0"/>
        <w:keepLines w:val="0"/>
        <w:widowControl/>
        <w:numPr>
          <w:ilvl w:val="0"/>
          <w:numId w:val="0"/>
        </w:numPr>
        <w:suppressLineNumbers w:val="0"/>
        <w:spacing w:line="360" w:lineRule="auto"/>
        <w:ind w:leftChars="0"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（3）环境监测计划</w:t>
      </w:r>
    </w:p>
    <w:p>
      <w:pPr>
        <w:keepNext w:val="0"/>
        <w:keepLines w:val="0"/>
        <w:widowControl/>
        <w:numPr>
          <w:ilvl w:val="0"/>
          <w:numId w:val="0"/>
        </w:numPr>
        <w:suppressLineNumbers w:val="0"/>
        <w:spacing w:line="360" w:lineRule="auto"/>
        <w:ind w:leftChars="0"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每年邀请第三方机构进行1次辐射工作场所的辐射监测工作，并编写检测报告，检测方式：委托检测。监测工况：在射线装置正常工作工况条件下进行监测。</w:t>
      </w:r>
    </w:p>
    <w:p>
      <w:pPr>
        <w:keepNext w:val="0"/>
        <w:keepLines w:val="0"/>
        <w:widowControl/>
        <w:numPr>
          <w:ilvl w:val="0"/>
          <w:numId w:val="0"/>
        </w:numPr>
        <w:suppressLineNumbers w:val="0"/>
        <w:spacing w:line="360" w:lineRule="auto"/>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监测因子：探伤室周围环境辐射剂量当量率。监测频次：1次。</w:t>
      </w:r>
    </w:p>
    <w:p>
      <w:pPr>
        <w:keepNext w:val="0"/>
        <w:keepLines w:val="0"/>
        <w:widowControl/>
        <w:numPr>
          <w:ilvl w:val="0"/>
          <w:numId w:val="0"/>
        </w:numPr>
        <w:suppressLineNumbers w:val="0"/>
        <w:spacing w:line="360" w:lineRule="auto"/>
        <w:ind w:firstLine="480" w:firstLineChars="200"/>
        <w:jc w:val="left"/>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建设单位每个季度对辐射工作场所和周围环境辐射水平进行1次监测。</w:t>
      </w:r>
    </w:p>
    <w:p>
      <w:pPr>
        <w:keepNext w:val="0"/>
        <w:keepLines w:val="0"/>
        <w:widowControl/>
        <w:numPr>
          <w:ilvl w:val="0"/>
          <w:numId w:val="0"/>
        </w:numPr>
        <w:suppressLineNumbers w:val="0"/>
        <w:spacing w:line="360" w:lineRule="auto"/>
        <w:ind w:firstLine="482" w:firstLineChars="200"/>
        <w:jc w:val="center"/>
        <w:rPr>
          <w:rFonts w:hint="eastAsia"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工作场所和周围环境辐射水平监测点位表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06"/>
        <w:gridCol w:w="467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序号</w:t>
            </w:r>
          </w:p>
        </w:tc>
        <w:tc>
          <w:tcPr>
            <w:tcW w:w="4675"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监测点位</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监测因子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1</w:t>
            </w:r>
          </w:p>
        </w:tc>
        <w:tc>
          <w:tcPr>
            <w:tcW w:w="4675" w:type="dxa"/>
            <w:vAlign w:val="center"/>
          </w:tcPr>
          <w:p>
            <w:pPr>
              <w:spacing w:before="10" w:after="10"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szCs w:val="21"/>
                <w:lang w:bidi="en-US"/>
              </w:rPr>
              <w:t>操作人员位</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2</w:t>
            </w:r>
          </w:p>
        </w:tc>
        <w:tc>
          <w:tcPr>
            <w:tcW w:w="4675" w:type="dxa"/>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lang w:val="en-US" w:eastAsia="zh-CN"/>
              </w:rPr>
              <w:t>工作人员防护门外表面（北侧）30cm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3</w:t>
            </w:r>
          </w:p>
        </w:tc>
        <w:tc>
          <w:tcPr>
            <w:tcW w:w="4675" w:type="dxa"/>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lang w:val="en-US" w:eastAsia="zh-CN"/>
              </w:rPr>
              <w:t>工作人员防护门外表面（中部）30cm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4</w:t>
            </w:r>
          </w:p>
        </w:tc>
        <w:tc>
          <w:tcPr>
            <w:tcW w:w="4675" w:type="dxa"/>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lang w:val="en-US" w:eastAsia="zh-CN"/>
              </w:rPr>
              <w:t>工作人员防护门外表面（南侧）30cm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5</w:t>
            </w:r>
          </w:p>
        </w:tc>
        <w:tc>
          <w:tcPr>
            <w:tcW w:w="4675" w:type="dxa"/>
            <w:vAlign w:val="center"/>
          </w:tcPr>
          <w:p>
            <w:pPr>
              <w:spacing w:line="240" w:lineRule="auto"/>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lang w:val="en-US" w:eastAsia="zh-CN"/>
              </w:rPr>
              <w:t>工作人员防护门外表面（上端）30cm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6</w:t>
            </w:r>
          </w:p>
        </w:tc>
        <w:tc>
          <w:tcPr>
            <w:tcW w:w="4675" w:type="dxa"/>
            <w:vAlign w:val="center"/>
          </w:tcPr>
          <w:p>
            <w:pPr>
              <w:spacing w:line="240" w:lineRule="auto"/>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lang w:val="en-US" w:eastAsia="zh-CN"/>
              </w:rPr>
              <w:t>工作人员防护门外表面（下端）30cm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7</w:t>
            </w:r>
          </w:p>
        </w:tc>
        <w:tc>
          <w:tcPr>
            <w:tcW w:w="4675" w:type="dxa"/>
            <w:vAlign w:val="center"/>
          </w:tcPr>
          <w:p>
            <w:pPr>
              <w:spacing w:line="240" w:lineRule="auto"/>
              <w:jc w:val="center"/>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color w:val="auto"/>
                <w:lang w:val="en-US" w:eastAsia="zh-CN"/>
              </w:rPr>
              <w:t>工件出入防护门外表面30cm处（北侧）</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8</w:t>
            </w:r>
          </w:p>
        </w:tc>
        <w:tc>
          <w:tcPr>
            <w:tcW w:w="4675" w:type="dxa"/>
            <w:vAlign w:val="center"/>
          </w:tcPr>
          <w:p>
            <w:pPr>
              <w:spacing w:line="240" w:lineRule="auto"/>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cs="Times New Roman"/>
                <w:color w:val="auto"/>
                <w:lang w:val="en-US" w:eastAsia="zh-CN"/>
              </w:rPr>
              <w:t>工件出入防护门外表面30cm处（中部）</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9</w:t>
            </w:r>
          </w:p>
        </w:tc>
        <w:tc>
          <w:tcPr>
            <w:tcW w:w="4675" w:type="dxa"/>
            <w:vAlign w:val="center"/>
          </w:tcPr>
          <w:p>
            <w:pPr>
              <w:spacing w:line="240" w:lineRule="auto"/>
              <w:jc w:val="center"/>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工件出入防护门外表面30cm处（南侧）</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color w:val="auto"/>
              </w:rPr>
              <w:t>10</w:t>
            </w:r>
          </w:p>
        </w:tc>
        <w:tc>
          <w:tcPr>
            <w:tcW w:w="4675" w:type="dxa"/>
            <w:vAlign w:val="center"/>
          </w:tcPr>
          <w:p>
            <w:pPr>
              <w:spacing w:line="240" w:lineRule="auto"/>
              <w:jc w:val="center"/>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color w:val="auto"/>
                <w:lang w:val="en-US" w:eastAsia="zh-CN"/>
              </w:rPr>
              <w:t>工件出入防护门外表面30cm处（下端）</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rPr>
              <w:t>11</w:t>
            </w:r>
          </w:p>
        </w:tc>
        <w:tc>
          <w:tcPr>
            <w:tcW w:w="4675" w:type="dxa"/>
            <w:vAlign w:val="center"/>
          </w:tcPr>
          <w:p>
            <w:pPr>
              <w:spacing w:line="240" w:lineRule="auto"/>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lang w:val="en-US" w:eastAsia="zh-CN"/>
              </w:rPr>
              <w:t>工件出入防护门外表面30cm处（北侧门缝）</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rPr>
              <w:t>12</w:t>
            </w:r>
          </w:p>
        </w:tc>
        <w:tc>
          <w:tcPr>
            <w:tcW w:w="4675"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cs="Times New Roman"/>
                <w:lang w:val="en-US" w:eastAsia="zh-CN"/>
              </w:rPr>
              <w:t>工件出入防护门外表面30cm处（南侧门缝）</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06" w:type="dxa"/>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13</w:t>
            </w:r>
          </w:p>
        </w:tc>
        <w:tc>
          <w:tcPr>
            <w:tcW w:w="4675" w:type="dxa"/>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探伤室东墙北侧外表面30cm</w:t>
            </w:r>
          </w:p>
        </w:tc>
        <w:tc>
          <w:tcPr>
            <w:tcW w:w="2841" w:type="dxa"/>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14</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探伤室东墙中部外表面30cm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rPr>
              <w:t>15</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探伤室南墙西侧外表面30cm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16</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探伤室南墙中部外表面30cm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17</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探伤室南墙东侧外表面30cm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18</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探伤室西墙北侧外表面30cm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19</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探伤室西墙中部外表面30cm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20</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探伤室西墙南侧外表面30cm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21</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探伤室北墙西侧外表面30cm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22</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探伤室北墙中部外表面30cm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23</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探伤室北墙南侧外表面30cm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24</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二层地面上方30cm处（东北侧）</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25</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二层地面上方30cm处（东南侧）</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26</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二层地面上方30cm处（西南侧）</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27</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二层地面上方30cm处（西北侧）</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28</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二层地面上方30cm处（中部）</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29</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电缆通道外</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30</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通风管道出口处100cm</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31</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探伤室东侧车间</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32</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探伤室南侧车间</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33</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西侧室外过道</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0" w:type="auto"/>
            <w:vAlign w:val="center"/>
          </w:tcPr>
          <w:p>
            <w:pPr>
              <w:spacing w:before="10" w:after="10"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34</w:t>
            </w:r>
          </w:p>
        </w:tc>
        <w:tc>
          <w:tcPr>
            <w:tcW w:w="0" w:type="auto"/>
            <w:vAlign w:val="center"/>
          </w:tcPr>
          <w:p>
            <w:pPr>
              <w:spacing w:line="240" w:lineRule="auto"/>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lang w:val="en-US" w:eastAsia="zh-CN"/>
              </w:rPr>
              <w:t>北侧室外过道</w:t>
            </w:r>
          </w:p>
        </w:tc>
        <w:tc>
          <w:tcPr>
            <w:tcW w:w="0" w:type="auto"/>
          </w:tcPr>
          <w:p>
            <w:pPr>
              <w:keepNext w:val="0"/>
              <w:keepLines w:val="0"/>
              <w:widowControl/>
              <w:numPr>
                <w:ilvl w:val="0"/>
                <w:numId w:val="0"/>
              </w:numPr>
              <w:suppressLineNumbers w:val="0"/>
              <w:spacing w:line="360" w:lineRule="auto"/>
              <w:jc w:val="center"/>
              <w:rPr>
                <w:rFonts w:hint="default" w:ascii="Times New Roman" w:hAnsi="Times New Roman" w:eastAsia="宋体" w:cs="Times New Roman"/>
                <w:b w:val="0"/>
                <w:bCs w:val="0"/>
                <w:color w:val="000000"/>
                <w:kern w:val="0"/>
                <w:sz w:val="24"/>
                <w:szCs w:val="24"/>
                <w:vertAlign w:val="baseline"/>
                <w:lang w:val="en-US" w:eastAsia="zh-CN" w:bidi="ar"/>
              </w:rPr>
            </w:pPr>
            <w:r>
              <w:rPr>
                <w:rFonts w:hint="default" w:ascii="Times New Roman" w:hAnsi="Times New Roman" w:eastAsia="宋体" w:cs="Times New Roman"/>
                <w:b w:val="0"/>
                <w:bCs w:val="0"/>
                <w:color w:val="000000"/>
                <w:kern w:val="0"/>
                <w:sz w:val="24"/>
                <w:szCs w:val="24"/>
                <w:vertAlign w:val="baseline"/>
                <w:lang w:val="en-US" w:eastAsia="zh-CN" w:bidi="ar"/>
              </w:rPr>
              <w:t>X-γ周围剂量当量率</w:t>
            </w:r>
          </w:p>
        </w:tc>
      </w:tr>
    </w:tbl>
    <w:p>
      <w:pPr>
        <w:keepNext w:val="0"/>
        <w:keepLines w:val="0"/>
        <w:widowControl/>
        <w:numPr>
          <w:ilvl w:val="0"/>
          <w:numId w:val="0"/>
        </w:numPr>
        <w:suppressLineNumbers w:val="0"/>
        <w:spacing w:line="360" w:lineRule="auto"/>
        <w:ind w:firstLine="482" w:firstLineChars="200"/>
        <w:jc w:val="both"/>
        <w:rPr>
          <w:rFonts w:hint="default" w:ascii="Times New Roman" w:hAnsi="Times New Roman" w:eastAsia="宋体" w:cs="Times New Roman"/>
          <w:b/>
          <w:bCs/>
          <w:color w:val="000000"/>
          <w:kern w:val="0"/>
          <w:sz w:val="24"/>
          <w:szCs w:val="24"/>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946BC"/>
    <w:multiLevelType w:val="multilevel"/>
    <w:tmpl w:val="AC3946B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MjBiOGVjMzBmYmM4MzhhMmRhMTk3MTgxYjcyYzcifQ=="/>
  </w:docVars>
  <w:rsids>
    <w:rsidRoot w:val="0E246594"/>
    <w:rsid w:val="0E246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35"/>
      <w:ind w:left="212"/>
    </w:pPr>
    <w:rPr>
      <w:rFonts w:ascii="宋体" w:hAnsi="宋体" w:eastAsia="宋体"/>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2023-02-17T01:51:00Z</dcterms:created>
  <dc:creator>小张</dc:creator>
  <cp:lastModifiedBy>小张</cp:lastModifiedBy>
  <dcterms:modified xsi:type="dcterms:W3CDTF">2023-02-17T02:14:51Z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3321BFE171B94FC19CE9960F429125EE</vt:lpwstr>
  </property>
</Properties>
</file>