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山东友升铝业有限公司煲模碱液再生利用项目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eastAsia="宋体" w:cs="Times New Roman"/>
          <w:b/>
          <w:bCs/>
          <w:color w:val="auto"/>
          <w:sz w:val="28"/>
          <w:szCs w:val="28"/>
          <w:lang w:val="en-US" w:eastAsia="zh-CN"/>
        </w:rPr>
        <w:t>竣工环境保护验收</w:t>
      </w:r>
      <w:r>
        <w:rPr>
          <w:rFonts w:hint="eastAsia" w:ascii="Times New Roman" w:hAnsi="Times New Roman" w:eastAsia="宋体" w:cs="Times New Roman"/>
          <w:b/>
          <w:bCs/>
          <w:color w:val="auto"/>
          <w:sz w:val="28"/>
          <w:szCs w:val="28"/>
          <w:lang w:val="en-US" w:eastAsia="zh-CN"/>
        </w:rPr>
        <w:t>其他</w:t>
      </w:r>
      <w:r>
        <w:rPr>
          <w:rFonts w:hint="eastAsia" w:ascii="Times New Roman" w:hAnsi="Times New Roman" w:cs="Times New Roman" w:eastAsiaTheme="majorEastAsia"/>
          <w:b/>
          <w:bCs/>
          <w:sz w:val="28"/>
          <w:szCs w:val="28"/>
          <w:lang w:eastAsia="zh-CN"/>
        </w:rPr>
        <w:t>需要说明的事项</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w:t>
      </w:r>
      <w:r>
        <w:rPr>
          <w:rFonts w:hint="default" w:ascii="Times New Roman" w:hAnsi="Times New Roman" w:eastAsia="宋体" w:cs="Times New Roman"/>
          <w:color w:val="auto"/>
          <w:lang w:val="en-US" w:eastAsia="zh-CN"/>
        </w:rPr>
        <w:t>项目的环境保护设施</w:t>
      </w:r>
      <w:r>
        <w:rPr>
          <w:rFonts w:hint="eastAsia" w:ascii="Times New Roman" w:hAnsi="Times New Roman" w:eastAsia="宋体" w:cs="Times New Roman"/>
          <w:color w:val="auto"/>
          <w:lang w:val="en-US" w:eastAsia="zh-CN"/>
        </w:rPr>
        <w:t>未</w:t>
      </w:r>
      <w:r>
        <w:rPr>
          <w:rFonts w:hint="default" w:ascii="Times New Roman" w:hAnsi="Times New Roman" w:eastAsia="宋体" w:cs="Times New Roman"/>
          <w:color w:val="auto"/>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2022年3月，山东友升铝业有限公司委托山东蔚海蓝天环境科技集团有限公司编制完成了《山东友升铝业有限公司煲模碱液再生利用项目环境影响报告表》，于2023年4月13日获得聊城市茌平区行政审批服务局批复，批复文号：聊茌行审环管〔2023〕20号。2023年08月，公司委托山东玖玺环保科技有限公司于2023年08月09日、2023年08月10日对煲模碱液再生利用项目进行验收检测。后对检测数据进行分析论证，在此基础上完成了项目竣工环境保护验收监测报告表的编制。本次项目验收范围为山东友升铝业有限公司煲模碱液再生利用。</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验收结论为：</w:t>
      </w:r>
      <w:r>
        <w:rPr>
          <w:rFonts w:hint="default" w:ascii="Times New Roman" w:hAnsi="Times New Roman" w:cs="Times New Roman" w:eastAsiaTheme="minorEastAsia"/>
          <w:sz w:val="24"/>
          <w:szCs w:val="24"/>
          <w:lang w:val="en-US" w:eastAsia="zh-CN"/>
        </w:rPr>
        <w:t>山东友升铝业有限公司</w:t>
      </w:r>
      <w:r>
        <w:rPr>
          <w:rFonts w:hint="eastAsia" w:ascii="Times New Roman" w:hAnsi="Times New Roman" w:eastAsia="宋体" w:cs="Times New Roman"/>
          <w:color w:val="auto"/>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w:t>
      </w:r>
      <w:r>
        <w:rPr>
          <w:rFonts w:hint="default" w:ascii="Times New Roman" w:hAnsi="Times New Roman" w:eastAsia="宋体" w:cs="Times New Roman"/>
          <w:color w:val="auto"/>
          <w:lang w:val="en-US" w:eastAsia="zh-CN"/>
        </w:rPr>
        <w:t>20</w:t>
      </w:r>
      <w:r>
        <w:rPr>
          <w:rFonts w:hint="eastAsia" w:ascii="Times New Roman" w:hAnsi="Times New Roman" w:eastAsia="宋体" w:cs="Times New Roman"/>
          <w:color w:val="auto"/>
          <w:lang w:val="en-US" w:eastAsia="zh-CN"/>
        </w:rPr>
        <w:t>2</w:t>
      </w:r>
      <w:r>
        <w:rPr>
          <w:rFonts w:hint="eastAsia" w:ascii="Times New Roman" w:cs="Times New Roman"/>
          <w:color w:val="auto"/>
          <w:lang w:val="en-US" w:eastAsia="zh-CN"/>
        </w:rPr>
        <w:t>3</w:t>
      </w:r>
      <w:r>
        <w:rPr>
          <w:rFonts w:hint="default" w:ascii="Times New Roman" w:hAnsi="Times New Roman" w:eastAsia="宋体" w:cs="Times New Roman"/>
          <w:color w:val="auto"/>
          <w:lang w:val="en-US" w:eastAsia="zh-CN"/>
        </w:rPr>
        <w:t>年</w:t>
      </w:r>
      <w:r>
        <w:rPr>
          <w:rFonts w:hint="eastAsia" w:ascii="Times New Roman" w:cs="Times New Roman"/>
          <w:color w:val="auto"/>
          <w:lang w:val="en-US" w:eastAsia="zh-CN"/>
        </w:rPr>
        <w:t>10</w:t>
      </w:r>
      <w:r>
        <w:rPr>
          <w:rFonts w:hint="default" w:ascii="Times New Roman" w:hAnsi="Times New Roman" w:eastAsia="宋体" w:cs="Times New Roman"/>
          <w:color w:val="auto"/>
          <w:lang w:val="en-US" w:eastAsia="zh-CN"/>
        </w:rPr>
        <w:t>月</w:t>
      </w:r>
      <w:r>
        <w:rPr>
          <w:rFonts w:hint="eastAsia" w:ascii="Times New Roman" w:cs="Times New Roman"/>
          <w:color w:val="auto"/>
          <w:lang w:val="en-US" w:eastAsia="zh-CN"/>
        </w:rPr>
        <w:t>14</w:t>
      </w:r>
      <w:r>
        <w:rPr>
          <w:rFonts w:hint="default" w:ascii="Times New Roman" w:hAnsi="Times New Roman" w:eastAsia="宋体" w:cs="Times New Roman"/>
          <w:color w:val="auto"/>
          <w:lang w:val="en-US" w:eastAsia="zh-CN"/>
        </w:rPr>
        <w:t>日</w:t>
      </w:r>
      <w:r>
        <w:rPr>
          <w:rFonts w:hint="eastAsia" w:ascii="Times New Roman" w:hAnsi="Times New Roman" w:eastAsia="宋体" w:cs="Times New Roman"/>
          <w:color w:val="auto"/>
          <w:lang w:val="en-US" w:eastAsia="zh-CN"/>
        </w:rPr>
        <w:t>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（1）环保组织机构及规章制度</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本公司己建立环保组织机构及规章制度。本公司成立了环境保护工作组</w:t>
      </w:r>
      <w:r>
        <w:rPr>
          <w:rFonts w:hint="eastAsia" w:ascii="Times New Roman" w:hAnsi="Times New Roman" w:eastAsia="宋体" w:cs="Times New Roman"/>
          <w:color w:val="auto"/>
          <w:lang w:val="en-US" w:eastAsia="zh-CN"/>
        </w:rPr>
        <w:t>：</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组长</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负责企业环保全面工作，是企业环保的第一责任人。</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副组长</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本公司针对各项环保设施制订了运行维护管理制度、设施操作规程。</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（2）环境风险防范措施</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本项目所在位置地面硬化，车间内煲模系统通过管道与废碱液收集箱联通。本项目涉及的风险物质废碱液浓度较低且储存量较少，废碱液池内最大废碱液量一般为 5m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 xml:space="preserve"> ，不会出现大量泄露。预防措施：</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cs="Times New Roman"/>
          <w:color w:val="auto"/>
          <w:lang w:val="en-US" w:eastAsia="zh-CN"/>
        </w:rPr>
        <w:t>①</w:t>
      </w:r>
      <w:r>
        <w:rPr>
          <w:rFonts w:hint="default" w:ascii="Times New Roman" w:hAnsi="Times New Roman" w:eastAsia="宋体" w:cs="Times New Roman"/>
          <w:color w:val="auto"/>
          <w:lang w:val="en-US" w:eastAsia="zh-CN"/>
        </w:rPr>
        <w:t xml:space="preserve">严格按照有关规章制度进行装卸操作，不得违章作业。在运营过程中应加强环境事故的宣传和对员工的风险防范意识，加强作业区及贮存区的日常巡查，定期检查池体的安全性，杜绝违章作业及设备超负荷运行，从而可以在一定程度上将其发生风险事故的概率进一步降低。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cs="Times New Roman"/>
          <w:color w:val="auto"/>
          <w:lang w:val="en-US" w:eastAsia="zh-CN"/>
        </w:rPr>
        <w:t>②</w:t>
      </w:r>
      <w:r>
        <w:rPr>
          <w:rFonts w:hint="default" w:ascii="Times New Roman" w:hAnsi="Times New Roman" w:eastAsia="宋体" w:cs="Times New Roman"/>
          <w:color w:val="auto"/>
          <w:lang w:val="en-US" w:eastAsia="zh-CN"/>
        </w:rPr>
        <w:t>本项目新增废碱液回收利用设备处理主机由种分槽、处理主机、压滤机等组成，装置外部为密闭结构，地面架空安装，且设备安装区域地面下部设置沟渠与现有事故水池联通。</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（3）环境监测计划</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根据环境影响报告书（表）及其审批部门审批决定要求以及《排污单位自行监测技术指南 总则》（</w:t>
      </w:r>
      <w:r>
        <w:rPr>
          <w:rFonts w:hint="default" w:ascii="Times New Roman" w:hAnsi="Times New Roman" w:eastAsia="宋体" w:cs="Times New Roman"/>
          <w:color w:val="auto"/>
          <w:lang w:val="en-US" w:eastAsia="zh-CN"/>
        </w:rPr>
        <w:t>HJ 819-2017</w:t>
      </w:r>
      <w:r>
        <w:rPr>
          <w:rFonts w:hint="eastAsia" w:ascii="Times New Roman" w:hAnsi="Times New Roman" w:eastAsia="宋体" w:cs="Times New Roman"/>
          <w:color w:val="auto"/>
          <w:lang w:val="en-US" w:eastAsia="zh-CN"/>
        </w:rPr>
        <w:t xml:space="preserve">）表 </w:t>
      </w:r>
      <w:r>
        <w:rPr>
          <w:rFonts w:hint="default" w:ascii="Times New Roman" w:hAnsi="Times New Roman" w:eastAsia="宋体" w:cs="Times New Roman"/>
          <w:color w:val="auto"/>
          <w:lang w:val="en-US" w:eastAsia="zh-CN"/>
        </w:rPr>
        <w:t xml:space="preserve">1 </w:t>
      </w:r>
      <w:r>
        <w:rPr>
          <w:rFonts w:hint="eastAsia" w:ascii="Times New Roman" w:hAnsi="Times New Roman" w:eastAsia="宋体" w:cs="Times New Roman"/>
          <w:color w:val="auto"/>
          <w:lang w:val="en-US" w:eastAsia="zh-CN"/>
        </w:rPr>
        <w:t>非重点排污单位、其他排放口的监测指标自行监测要求，本项目</w:t>
      </w:r>
      <w:r>
        <w:rPr>
          <w:rFonts w:hint="eastAsia" w:ascii="Times New Roman" w:cs="Times New Roman"/>
          <w:color w:val="auto"/>
          <w:lang w:val="en-US" w:eastAsia="zh-CN"/>
        </w:rPr>
        <w:t>噪声</w:t>
      </w:r>
      <w:r>
        <w:rPr>
          <w:rFonts w:hint="eastAsia" w:ascii="Times New Roman" w:hAnsi="Times New Roman" w:eastAsia="宋体" w:cs="Times New Roman"/>
          <w:color w:val="auto"/>
          <w:lang w:val="en-US" w:eastAsia="zh-CN"/>
        </w:rPr>
        <w:t xml:space="preserve">自行监测计划见下表： </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613"/>
        <w:gridCol w:w="5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噪声</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监测点位</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Style w:val="35"/>
                <w:rFonts w:hint="eastAsia" w:ascii="Times New Roman" w:hAnsi="Times New Roman" w:cs="Times New Roman"/>
                <w:sz w:val="24"/>
                <w:lang w:val="en-US" w:eastAsia="zh-CN"/>
              </w:rPr>
              <w:t>项目东、南、北边界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等效连续A声级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监测频次</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执行排放标准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《工业企业厂界环境噪声排放标准》（GB 12348-2008）的2类标准</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（1）区域削减及淘汰落后产能</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本公司不涉及区域削减污染物总量措施，所有生产设备中没有需淘汰的落后产能设备。</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（2）防护距离控制及居民搬迁</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w:t>
      </w:r>
      <w:r>
        <w:rPr>
          <w:rFonts w:hint="default" w:ascii="Times New Roman" w:hAnsi="Times New Roman" w:eastAsia="宋体" w:cs="Times New Roman"/>
          <w:color w:val="auto"/>
          <w:lang w:val="en-US" w:eastAsia="zh-CN"/>
        </w:rPr>
        <w:t>验收现场检查会</w:t>
      </w:r>
      <w:r>
        <w:rPr>
          <w:rFonts w:hint="eastAsia" w:ascii="Times New Roman" w:hAnsi="Times New Roman" w:eastAsia="宋体" w:cs="Times New Roman"/>
          <w:color w:val="auto"/>
          <w:lang w:val="en-US" w:eastAsia="zh-CN"/>
        </w:rPr>
        <w:t>专家提出的整改意见及整改措施如下：</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Style w:val="35"/>
          <w:rFonts w:hint="eastAsia" w:ascii="Times New Roman" w:hAnsi="Times New Roman" w:cs="Times New Roman"/>
          <w:sz w:val="24"/>
          <w:szCs w:val="24"/>
          <w:lang w:val="en-US" w:eastAsia="zh-CN"/>
        </w:rPr>
        <w:t>1</w:t>
      </w:r>
      <w:r>
        <w:rPr>
          <w:rStyle w:val="35"/>
          <w:rFonts w:hint="default" w:ascii="Times New Roman" w:hAnsi="Times New Roman" w:eastAsia="宋体" w:cs="Times New Roman"/>
          <w:sz w:val="24"/>
          <w:szCs w:val="24"/>
          <w:lang w:val="en-US" w:eastAsia="zh-CN"/>
        </w:rPr>
        <w:t>、定期检查废气收集设施的运行情况，确保废气有效收集和处理</w:t>
      </w:r>
      <w:r>
        <w:rPr>
          <w:rStyle w:val="35"/>
          <w:rFonts w:hint="eastAsia" w:ascii="Times New Roman" w:hAnsi="Times New Roman" w:eastAsia="宋体" w:cs="Times New Roman"/>
          <w:sz w:val="24"/>
          <w:szCs w:val="24"/>
          <w:lang w:val="en-US" w:eastAsia="zh-CN"/>
        </w:rPr>
        <w:t>。</w:t>
      </w:r>
    </w:p>
    <w:p>
      <w:pPr>
        <w:pStyle w:val="2"/>
        <w:spacing w:line="360" w:lineRule="auto"/>
        <w:ind w:firstLine="480" w:firstLineChars="200"/>
        <w:jc w:val="both"/>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整改/修改情况：</w:t>
      </w:r>
      <w:r>
        <w:rPr>
          <w:rFonts w:hint="eastAsia" w:ascii="Times New Roman" w:cs="Times New Roman"/>
          <w:color w:val="auto"/>
          <w:u w:val="single"/>
          <w:lang w:val="en-US" w:eastAsia="zh-CN"/>
        </w:rPr>
        <w:t>公司</w:t>
      </w:r>
      <w:r>
        <w:rPr>
          <w:rFonts w:hint="eastAsia" w:ascii="Times New Roman" w:hAnsi="Times New Roman" w:eastAsia="宋体" w:cs="Times New Roman"/>
          <w:color w:val="auto"/>
          <w:u w:val="single"/>
          <w:lang w:val="en-US" w:eastAsia="zh-CN"/>
        </w:rPr>
        <w:t>定期检查废气收集设施的运行情况，</w:t>
      </w:r>
      <w:r>
        <w:rPr>
          <w:rFonts w:hint="eastAsia" w:ascii="Times New Roman" w:cs="Times New Roman"/>
          <w:color w:val="auto"/>
          <w:u w:val="single"/>
          <w:lang w:val="en-US" w:eastAsia="zh-CN"/>
        </w:rPr>
        <w:t>并</w:t>
      </w:r>
      <w:r>
        <w:rPr>
          <w:rFonts w:hint="eastAsia" w:ascii="Times New Roman" w:hAnsi="Times New Roman" w:eastAsia="宋体" w:cs="Times New Roman"/>
          <w:color w:val="auto"/>
          <w:u w:val="single"/>
          <w:lang w:val="en-US" w:eastAsia="zh-CN"/>
        </w:rPr>
        <w:t>确保</w:t>
      </w:r>
      <w:r>
        <w:rPr>
          <w:rFonts w:hint="eastAsia" w:ascii="Times New Roman" w:cs="Times New Roman"/>
          <w:color w:val="auto"/>
          <w:u w:val="single"/>
          <w:lang w:val="en-US" w:eastAsia="zh-CN"/>
        </w:rPr>
        <w:t>了</w:t>
      </w:r>
      <w:r>
        <w:rPr>
          <w:rFonts w:hint="eastAsia" w:ascii="Times New Roman" w:hAnsi="Times New Roman" w:eastAsia="宋体" w:cs="Times New Roman"/>
          <w:color w:val="auto"/>
          <w:u w:val="single"/>
          <w:lang w:val="en-US" w:eastAsia="zh-CN"/>
        </w:rPr>
        <w:t>废气</w:t>
      </w:r>
      <w:r>
        <w:rPr>
          <w:rFonts w:hint="eastAsia" w:ascii="Times New Roman" w:cs="Times New Roman"/>
          <w:color w:val="auto"/>
          <w:u w:val="single"/>
          <w:lang w:val="en-US" w:eastAsia="zh-CN"/>
        </w:rPr>
        <w:t>的</w:t>
      </w:r>
      <w:r>
        <w:rPr>
          <w:rFonts w:hint="eastAsia" w:ascii="Times New Roman" w:hAnsi="Times New Roman" w:eastAsia="宋体" w:cs="Times New Roman"/>
          <w:color w:val="auto"/>
          <w:u w:val="single"/>
          <w:lang w:val="en-US" w:eastAsia="zh-CN"/>
        </w:rPr>
        <w:t>有效收集和处理。</w:t>
      </w:r>
    </w:p>
    <w:p>
      <w:pPr>
        <w:pStyle w:val="2"/>
        <w:numPr>
          <w:ilvl w:val="0"/>
          <w:numId w:val="1"/>
        </w:numPr>
        <w:spacing w:line="360" w:lineRule="auto"/>
        <w:ind w:firstLine="480" w:firstLineChars="200"/>
        <w:jc w:val="both"/>
        <w:rPr>
          <w:rStyle w:val="35"/>
          <w:rFonts w:hint="default" w:ascii="Times New Roman" w:hAnsi="Times New Roman" w:eastAsia="宋体" w:cs="Times New Roman"/>
          <w:sz w:val="24"/>
          <w:szCs w:val="24"/>
          <w:lang w:val="en-US" w:eastAsia="zh-CN"/>
        </w:rPr>
      </w:pPr>
      <w:r>
        <w:rPr>
          <w:rStyle w:val="35"/>
          <w:rFonts w:hint="eastAsia" w:ascii="Times New Roman" w:hAnsi="Times New Roman" w:eastAsia="宋体" w:cs="Times New Roman"/>
          <w:sz w:val="24"/>
          <w:szCs w:val="24"/>
          <w:lang w:val="en-US" w:eastAsia="zh-CN"/>
        </w:rPr>
        <w:t>根据《固定污染源废气监测点位设置技术规范》（</w:t>
      </w:r>
      <w:r>
        <w:rPr>
          <w:rStyle w:val="35"/>
          <w:rFonts w:hint="default" w:ascii="Times New Roman" w:hAnsi="Times New Roman" w:eastAsia="宋体" w:cs="Times New Roman"/>
          <w:sz w:val="24"/>
          <w:szCs w:val="24"/>
          <w:lang w:val="en-US" w:eastAsia="zh-CN"/>
        </w:rPr>
        <w:t>DB37/T 3535-2019</w:t>
      </w:r>
      <w:r>
        <w:rPr>
          <w:rStyle w:val="35"/>
          <w:rFonts w:hint="eastAsia" w:ascii="Times New Roman" w:hAnsi="Times New Roman" w:eastAsia="宋体" w:cs="Times New Roman"/>
          <w:sz w:val="24"/>
          <w:szCs w:val="24"/>
          <w:lang w:val="en-US" w:eastAsia="zh-CN"/>
        </w:rPr>
        <w:t>）的要求，规范设置大气污染物监测平台、监测点位</w:t>
      </w:r>
      <w:r>
        <w:rPr>
          <w:rStyle w:val="35"/>
          <w:rFonts w:hint="eastAsia" w:ascii="Times New Roman" w:hAnsi="Times New Roman" w:cs="Times New Roman"/>
          <w:sz w:val="24"/>
          <w:szCs w:val="24"/>
          <w:lang w:val="en-US" w:eastAsia="zh-CN"/>
        </w:rPr>
        <w:t>、</w:t>
      </w:r>
      <w:r>
        <w:rPr>
          <w:rStyle w:val="35"/>
          <w:rFonts w:hint="eastAsia" w:ascii="Times New Roman" w:hAnsi="Times New Roman" w:eastAsia="宋体" w:cs="Times New Roman"/>
          <w:sz w:val="24"/>
          <w:szCs w:val="24"/>
          <w:lang w:val="en-US" w:eastAsia="zh-CN"/>
        </w:rPr>
        <w:t>监测孔</w:t>
      </w:r>
      <w:r>
        <w:rPr>
          <w:rStyle w:val="35"/>
          <w:rFonts w:hint="eastAsia" w:ascii="Times New Roman" w:hAnsi="Times New Roman" w:cs="Times New Roman"/>
          <w:sz w:val="24"/>
          <w:szCs w:val="24"/>
          <w:lang w:val="en-US" w:eastAsia="zh-CN"/>
        </w:rPr>
        <w:t>及相关环保标识</w:t>
      </w:r>
      <w:r>
        <w:rPr>
          <w:rStyle w:val="35"/>
          <w:rFonts w:hint="default" w:ascii="Times New Roman" w:hAnsi="Times New Roman" w:eastAsia="宋体" w:cs="Times New Roman"/>
          <w:sz w:val="24"/>
          <w:szCs w:val="24"/>
          <w:lang w:val="en-US" w:eastAsia="zh-CN"/>
        </w:rPr>
        <w:t>。</w:t>
      </w:r>
    </w:p>
    <w:p>
      <w:pPr>
        <w:pStyle w:val="2"/>
        <w:spacing w:line="360" w:lineRule="auto"/>
        <w:ind w:firstLine="480" w:firstLineChars="200"/>
        <w:jc w:val="both"/>
        <w:rPr>
          <w:rStyle w:val="35"/>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u w:val="single"/>
          <w:lang w:val="en-US" w:eastAsia="zh-CN"/>
        </w:rPr>
        <w:t>整改/修改情况：</w:t>
      </w:r>
      <w:r>
        <w:rPr>
          <w:rFonts w:hint="eastAsia" w:ascii="Times New Roman" w:cs="Times New Roman"/>
          <w:color w:val="auto"/>
          <w:u w:val="single"/>
          <w:lang w:val="en-US" w:eastAsia="zh-CN"/>
        </w:rPr>
        <w:t>公司已根据《固定污染源废气监测点位设置技术规范》（DB37/T 3535-2019）的要求，并规范设置大气污染物监测平台、监测点位、监测孔及相关环保标识。</w:t>
      </w:r>
    </w:p>
    <w:p>
      <w:pPr>
        <w:pStyle w:val="2"/>
        <w:numPr>
          <w:ilvl w:val="0"/>
          <w:numId w:val="0"/>
        </w:numPr>
        <w:spacing w:line="360" w:lineRule="auto"/>
        <w:ind w:firstLine="480" w:firstLineChars="200"/>
        <w:jc w:val="both"/>
        <w:rPr>
          <w:rFonts w:hint="default" w:ascii="Times New Roman" w:hAnsi="Times New Roman" w:cs="Times New Roman" w:eastAsiaTheme="minorEastAsia"/>
          <w:color w:val="000000"/>
          <w:sz w:val="24"/>
          <w:szCs w:val="24"/>
          <w:highlight w:val="none"/>
          <w:lang w:val="en-US" w:eastAsia="zh-CN"/>
        </w:rPr>
      </w:pPr>
      <w:r>
        <w:rPr>
          <w:rFonts w:hint="eastAsia" w:ascii="Times New Roman" w:cs="Times New Roman" w:eastAsiaTheme="minorEastAsia"/>
          <w:color w:val="000000"/>
          <w:sz w:val="24"/>
          <w:szCs w:val="24"/>
          <w:highlight w:val="none"/>
          <w:lang w:val="en-US" w:eastAsia="zh-CN"/>
        </w:rPr>
        <w:t>3、</w:t>
      </w:r>
      <w:r>
        <w:rPr>
          <w:rFonts w:hint="default" w:ascii="Times New Roman" w:hAnsi="Times New Roman" w:cs="Times New Roman" w:eastAsiaTheme="minorEastAsia"/>
          <w:color w:val="000000"/>
          <w:sz w:val="24"/>
          <w:szCs w:val="24"/>
          <w:highlight w:val="none"/>
          <w:lang w:val="en-US" w:eastAsia="zh-CN"/>
        </w:rPr>
        <w:t>项目运营过程中，严格执行排污许可排放标准，一般工业固废严格按照《一般工业固体废物贮存和填埋污染控制标准》（GB 18599-2020）要求执行</w:t>
      </w:r>
      <w:r>
        <w:rPr>
          <w:rFonts w:hint="eastAsia" w:ascii="Times New Roman" w:hAnsi="Times New Roman" w:cs="Times New Roman" w:eastAsiaTheme="minorEastAsia"/>
          <w:color w:val="000000"/>
          <w:sz w:val="24"/>
          <w:szCs w:val="24"/>
          <w:highlight w:val="none"/>
          <w:lang w:val="en-US" w:eastAsia="zh-CN"/>
        </w:rPr>
        <w:t>，危险废物</w:t>
      </w:r>
      <w:r>
        <w:rPr>
          <w:rFonts w:hint="default" w:ascii="Times New Roman" w:hAnsi="Times New Roman" w:cs="Times New Roman" w:eastAsiaTheme="minorEastAsia"/>
          <w:color w:val="000000"/>
          <w:sz w:val="24"/>
          <w:szCs w:val="24"/>
          <w:highlight w:val="none"/>
          <w:lang w:val="en-US" w:eastAsia="zh-CN"/>
        </w:rPr>
        <w:t>严格按照</w:t>
      </w:r>
      <w:r>
        <w:rPr>
          <w:rFonts w:hint="default" w:ascii="Times New Roman" w:hAnsi="Times New Roman" w:eastAsia="宋体" w:cs="Times New Roman"/>
          <w:color w:val="auto"/>
          <w:sz w:val="24"/>
          <w:szCs w:val="24"/>
          <w:lang w:val="en-US" w:eastAsia="zh-CN"/>
        </w:rPr>
        <w:t>《危险废物贮存污染控制标准》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18597-2023</w:t>
      </w:r>
      <w:r>
        <w:rPr>
          <w:rFonts w:hint="eastAsia" w:ascii="Times New Roman" w:hAnsi="Times New Roman" w:eastAsia="宋体" w:cs="Times New Roman"/>
          <w:color w:val="auto"/>
          <w:sz w:val="24"/>
          <w:szCs w:val="24"/>
          <w:lang w:val="en-US" w:eastAsia="zh-CN"/>
        </w:rPr>
        <w:t>）要求</w:t>
      </w:r>
      <w:r>
        <w:rPr>
          <w:rFonts w:hint="default" w:ascii="Times New Roman" w:hAnsi="Times New Roman" w:cs="Times New Roman" w:eastAsiaTheme="minorEastAsia"/>
          <w:color w:val="000000"/>
          <w:sz w:val="24"/>
          <w:szCs w:val="24"/>
          <w:highlight w:val="none"/>
          <w:lang w:val="en-US" w:eastAsia="zh-CN"/>
        </w:rPr>
        <w:t>执行</w:t>
      </w:r>
      <w:r>
        <w:rPr>
          <w:rFonts w:hint="eastAsia" w:ascii="Times New Roman" w:hAnsi="Times New Roman" w:cs="Times New Roman" w:eastAsiaTheme="minorEastAsia"/>
          <w:color w:val="000000"/>
          <w:sz w:val="24"/>
          <w:szCs w:val="24"/>
          <w:highlight w:val="none"/>
          <w:lang w:val="en-US" w:eastAsia="zh-CN"/>
        </w:rPr>
        <w:t>。</w:t>
      </w:r>
    </w:p>
    <w:p>
      <w:pPr>
        <w:pStyle w:val="2"/>
        <w:numPr>
          <w:ilvl w:val="0"/>
          <w:numId w:val="0"/>
        </w:numPr>
        <w:spacing w:line="360" w:lineRule="auto"/>
        <w:ind w:firstLine="480" w:firstLineChars="200"/>
        <w:jc w:val="both"/>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u w:val="single"/>
          <w:lang w:val="en-US" w:eastAsia="zh-CN"/>
        </w:rPr>
        <w:t>整改/修改情况：公司已</w:t>
      </w:r>
      <w:r>
        <w:rPr>
          <w:rFonts w:hint="default" w:ascii="Times New Roman" w:hAnsi="Times New Roman" w:cs="Times New Roman" w:eastAsiaTheme="minorEastAsia"/>
          <w:color w:val="000000"/>
          <w:sz w:val="24"/>
          <w:szCs w:val="24"/>
          <w:highlight w:val="none"/>
          <w:u w:val="single"/>
          <w:lang w:val="en-US" w:eastAsia="zh-CN"/>
        </w:rPr>
        <w:t>严格执行排污许可排放标准，一般工业固废严格按照《一般工业固体废物贮存和填埋污染控制标准》（GB 18599-2020）要求执行</w:t>
      </w:r>
      <w:bookmarkStart w:id="0" w:name="_GoBack"/>
      <w:bookmarkEnd w:id="0"/>
      <w:r>
        <w:rPr>
          <w:rFonts w:hint="eastAsia" w:ascii="Times New Roman" w:hAnsi="Times New Roman" w:cs="Times New Roman" w:eastAsiaTheme="minorEastAsia"/>
          <w:color w:val="000000"/>
          <w:sz w:val="24"/>
          <w:szCs w:val="24"/>
          <w:highlight w:val="none"/>
          <w:u w:val="single"/>
          <w:lang w:val="en-US" w:eastAsia="zh-CN"/>
        </w:rPr>
        <w:t>。</w:t>
      </w: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67385"/>
    <w:multiLevelType w:val="singleLevel"/>
    <w:tmpl w:val="C196738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5AA653C"/>
    <w:rsid w:val="071E6A39"/>
    <w:rsid w:val="08981135"/>
    <w:rsid w:val="09903A37"/>
    <w:rsid w:val="0A113A96"/>
    <w:rsid w:val="0A6624BF"/>
    <w:rsid w:val="0ADB5E7A"/>
    <w:rsid w:val="0AEC4F01"/>
    <w:rsid w:val="0B472137"/>
    <w:rsid w:val="0C8223EB"/>
    <w:rsid w:val="0D0001DD"/>
    <w:rsid w:val="140B7F29"/>
    <w:rsid w:val="146F7D91"/>
    <w:rsid w:val="16154F53"/>
    <w:rsid w:val="16946B78"/>
    <w:rsid w:val="16C94E7B"/>
    <w:rsid w:val="17B71A49"/>
    <w:rsid w:val="182F2017"/>
    <w:rsid w:val="19A12421"/>
    <w:rsid w:val="1A147C32"/>
    <w:rsid w:val="1AAE2376"/>
    <w:rsid w:val="1AB377E9"/>
    <w:rsid w:val="1B1851B0"/>
    <w:rsid w:val="1B60171F"/>
    <w:rsid w:val="1F522137"/>
    <w:rsid w:val="1F7E33E3"/>
    <w:rsid w:val="20C33720"/>
    <w:rsid w:val="218C6A2F"/>
    <w:rsid w:val="22B36145"/>
    <w:rsid w:val="23D34A58"/>
    <w:rsid w:val="240F39E8"/>
    <w:rsid w:val="24657C98"/>
    <w:rsid w:val="24C100AF"/>
    <w:rsid w:val="2698568F"/>
    <w:rsid w:val="26F95E73"/>
    <w:rsid w:val="270B5883"/>
    <w:rsid w:val="284F6DA3"/>
    <w:rsid w:val="288C09DE"/>
    <w:rsid w:val="29DF7CB3"/>
    <w:rsid w:val="2ABB7EB6"/>
    <w:rsid w:val="2C330031"/>
    <w:rsid w:val="2DDB1827"/>
    <w:rsid w:val="2DE661D0"/>
    <w:rsid w:val="2F1728B1"/>
    <w:rsid w:val="300A1801"/>
    <w:rsid w:val="30674F5B"/>
    <w:rsid w:val="325A4303"/>
    <w:rsid w:val="329E7375"/>
    <w:rsid w:val="33024A12"/>
    <w:rsid w:val="330A459A"/>
    <w:rsid w:val="351A3611"/>
    <w:rsid w:val="35475771"/>
    <w:rsid w:val="35CD57AB"/>
    <w:rsid w:val="370E1BD7"/>
    <w:rsid w:val="39C57C8B"/>
    <w:rsid w:val="3A08395A"/>
    <w:rsid w:val="3AF90D99"/>
    <w:rsid w:val="3BD220D5"/>
    <w:rsid w:val="3BD50FCD"/>
    <w:rsid w:val="3BE47F2F"/>
    <w:rsid w:val="3C0B4EA0"/>
    <w:rsid w:val="3DDF607B"/>
    <w:rsid w:val="3E823669"/>
    <w:rsid w:val="3F4A7E6C"/>
    <w:rsid w:val="408829FA"/>
    <w:rsid w:val="40FE1081"/>
    <w:rsid w:val="42A64878"/>
    <w:rsid w:val="442F4EF4"/>
    <w:rsid w:val="446F2B9F"/>
    <w:rsid w:val="44756DC2"/>
    <w:rsid w:val="44CD1674"/>
    <w:rsid w:val="452C453B"/>
    <w:rsid w:val="45815C6A"/>
    <w:rsid w:val="459B1ECB"/>
    <w:rsid w:val="471F573B"/>
    <w:rsid w:val="4AD73910"/>
    <w:rsid w:val="4D5558B4"/>
    <w:rsid w:val="4D8B6B9D"/>
    <w:rsid w:val="4EF37070"/>
    <w:rsid w:val="4FED287A"/>
    <w:rsid w:val="5206232F"/>
    <w:rsid w:val="52B018E5"/>
    <w:rsid w:val="52C735C9"/>
    <w:rsid w:val="53154F5B"/>
    <w:rsid w:val="535D1AC5"/>
    <w:rsid w:val="536E48F6"/>
    <w:rsid w:val="53DD36D8"/>
    <w:rsid w:val="53EF3783"/>
    <w:rsid w:val="54E91C64"/>
    <w:rsid w:val="54EE0658"/>
    <w:rsid w:val="54EF4047"/>
    <w:rsid w:val="550429A6"/>
    <w:rsid w:val="555B2034"/>
    <w:rsid w:val="562954F0"/>
    <w:rsid w:val="58FB30BE"/>
    <w:rsid w:val="59B60181"/>
    <w:rsid w:val="5A0C3D15"/>
    <w:rsid w:val="5C084E7C"/>
    <w:rsid w:val="5EBF129B"/>
    <w:rsid w:val="60A878DC"/>
    <w:rsid w:val="60B82B42"/>
    <w:rsid w:val="61A968D3"/>
    <w:rsid w:val="62536A85"/>
    <w:rsid w:val="63AE1EC8"/>
    <w:rsid w:val="641B4FF7"/>
    <w:rsid w:val="649460BF"/>
    <w:rsid w:val="682A1477"/>
    <w:rsid w:val="68857BC5"/>
    <w:rsid w:val="68BE670A"/>
    <w:rsid w:val="68D4001D"/>
    <w:rsid w:val="691D346F"/>
    <w:rsid w:val="6A4315BC"/>
    <w:rsid w:val="6A4662AD"/>
    <w:rsid w:val="6A7038C2"/>
    <w:rsid w:val="6C9227DE"/>
    <w:rsid w:val="6F5F79E8"/>
    <w:rsid w:val="714B7528"/>
    <w:rsid w:val="71BE777B"/>
    <w:rsid w:val="72B15531"/>
    <w:rsid w:val="73026583"/>
    <w:rsid w:val="75926377"/>
    <w:rsid w:val="7696248B"/>
    <w:rsid w:val="77AB20CE"/>
    <w:rsid w:val="78236589"/>
    <w:rsid w:val="79425628"/>
    <w:rsid w:val="79AD50B4"/>
    <w:rsid w:val="7ACF34CF"/>
    <w:rsid w:val="7B6E2211"/>
    <w:rsid w:val="7B910714"/>
    <w:rsid w:val="7D422132"/>
    <w:rsid w:val="7EAB7F69"/>
    <w:rsid w:val="7ECC448D"/>
    <w:rsid w:val="7F9801FA"/>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6">
    <w:name w:val="annotation text"/>
    <w:basedOn w:val="1"/>
    <w:link w:val="30"/>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unhideWhenUsed/>
    <w:qFormat/>
    <w:uiPriority w:val="99"/>
    <w:pPr>
      <w:ind w:left="420" w:leftChars="200"/>
    </w:pPr>
  </w:style>
  <w:style w:type="paragraph" w:customStyle="1" w:styleId="9">
    <w:name w:val="样式 正文文本缩进 + 行距: 1.5 倍行距"/>
    <w:basedOn w:val="1"/>
    <w:qFormat/>
    <w:uiPriority w:val="0"/>
    <w:pPr>
      <w:spacing w:after="120" w:line="360" w:lineRule="auto"/>
      <w:ind w:left="90" w:leftChars="32" w:firstLine="560" w:firstLineChars="200"/>
    </w:pPr>
    <w:rPr>
      <w:rFonts w:cs="宋体"/>
    </w:rPr>
  </w:style>
  <w:style w:type="paragraph" w:styleId="10">
    <w:name w:val="Plain Text"/>
    <w:basedOn w:val="1"/>
    <w:next w:val="8"/>
    <w:qFormat/>
    <w:uiPriority w:val="0"/>
    <w:rPr>
      <w:rFonts w:ascii="宋体" w:hAnsi="Courier New" w:cs="Courier New"/>
      <w:szCs w:val="21"/>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li_正文"/>
    <w:basedOn w:val="1"/>
    <w:qFormat/>
    <w:uiPriority w:val="0"/>
    <w:pPr>
      <w:ind w:firstLine="200" w:firstLineChars="200"/>
      <w:jc w:val="left"/>
    </w:pPr>
    <w:rPr>
      <w:sz w:val="28"/>
      <w:szCs w:val="28"/>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rFonts w:ascii="Calibri" w:hAnsi="Calibri" w:eastAsia="宋体" w:cs="Times New Roman"/>
      <w:kern w:val="2"/>
      <w:sz w:val="18"/>
      <w:szCs w:val="18"/>
    </w:rPr>
  </w:style>
  <w:style w:type="paragraph" w:customStyle="1" w:styleId="25">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正1"/>
    <w:basedOn w:val="1"/>
    <w:link w:val="32"/>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qFormat/>
    <w:uiPriority w:val="0"/>
    <w:rPr>
      <w:kern w:val="2"/>
      <w:sz w:val="21"/>
    </w:rPr>
  </w:style>
  <w:style w:type="paragraph" w:customStyle="1" w:styleId="29">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qFormat/>
    <w:uiPriority w:val="0"/>
    <w:rPr>
      <w:kern w:val="2"/>
      <w:sz w:val="21"/>
    </w:rPr>
  </w:style>
  <w:style w:type="paragraph" w:customStyle="1" w:styleId="31">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qFormat/>
    <w:uiPriority w:val="0"/>
    <w:rPr>
      <w:rFonts w:ascii="Calibri" w:hAnsi="Calibri" w:eastAsia="楷体_GB2312"/>
      <w:kern w:val="2"/>
      <w:sz w:val="24"/>
      <w:szCs w:val="24"/>
    </w:rPr>
  </w:style>
  <w:style w:type="paragraph" w:customStyle="1" w:styleId="33">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semiHidden/>
    <w:qFormat/>
    <w:uiPriority w:val="0"/>
  </w:style>
  <w:style w:type="paragraph" w:customStyle="1" w:styleId="3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38">
    <w:name w:val="UserStyle_29"/>
    <w:basedOn w:val="1"/>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2192</Words>
  <Characters>2253</Characters>
  <Lines>18</Lines>
  <Paragraphs>5</Paragraphs>
  <TotalTime>1</TotalTime>
  <ScaleCrop>false</ScaleCrop>
  <LinksUpToDate>false</LinksUpToDate>
  <CharactersWithSpaces>5727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2023-01-18T02:38:00Z</cp:lastPrinted>
  <dcterms:modified xsi:type="dcterms:W3CDTF">2023-11-22T02:19:48Z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F19AA9EDE6D64AD2B43631D4EAB20214_13</vt:lpwstr>
  </property>
</Properties>
</file>