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聊城市双盈包装制品有限公司年产360万套泡沫包装箱项目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（一期：年产180万套泡沫包装箱）</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default" w:ascii="Times New Roman" w:hAnsi="Times New Roman" w:eastAsia="宋体" w:cs="Times New Roman"/>
          <w:b/>
          <w:bCs/>
          <w:color w:val="auto"/>
          <w:sz w:val="28"/>
          <w:szCs w:val="28"/>
          <w:lang w:val="en-US" w:eastAsia="zh-CN"/>
        </w:rPr>
        <w:t>竣工环境保护验收</w:t>
      </w:r>
      <w:r>
        <w:rPr>
          <w:rFonts w:hint="eastAsia" w:ascii="Times New Roman" w:hAnsi="Times New Roman" w:eastAsia="宋体" w:cs="Times New Roman"/>
          <w:b/>
          <w:bCs/>
          <w:color w:val="auto"/>
          <w:sz w:val="28"/>
          <w:szCs w:val="28"/>
          <w:lang w:val="en-US" w:eastAsia="zh-CN"/>
        </w:rPr>
        <w:t>其他</w:t>
      </w:r>
      <w:r>
        <w:rPr>
          <w:rFonts w:hint="eastAsia" w:ascii="Times New Roman" w:hAnsi="Times New Roman" w:cs="Times New Roman" w:eastAsiaTheme="majorEastAsia"/>
          <w:b/>
          <w:bCs/>
          <w:sz w:val="28"/>
          <w:szCs w:val="28"/>
          <w:lang w:eastAsia="zh-CN"/>
        </w:rPr>
        <w:t>需要说明的事项</w:t>
      </w:r>
    </w:p>
    <w:p>
      <w:pPr>
        <w:pStyle w:val="2"/>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项目设计简况</w:t>
      </w:r>
      <w:r>
        <w:rPr>
          <w:rFonts w:hint="default"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w:t>
      </w:r>
      <w:r>
        <w:rPr>
          <w:rFonts w:hint="default" w:ascii="Times New Roman" w:hAnsi="Times New Roman" w:eastAsia="宋体" w:cs="Times New Roman"/>
          <w:color w:val="auto"/>
          <w:lang w:val="en-US" w:eastAsia="zh-CN"/>
        </w:rPr>
        <w:t>项目的环境保护设施</w:t>
      </w:r>
      <w:r>
        <w:rPr>
          <w:rFonts w:hint="eastAsia" w:ascii="Times New Roman" w:hAnsi="Times New Roman" w:eastAsia="宋体" w:cs="Times New Roman"/>
          <w:color w:val="auto"/>
          <w:lang w:val="en-US" w:eastAsia="zh-CN"/>
        </w:rPr>
        <w:t>未</w:t>
      </w:r>
      <w:r>
        <w:rPr>
          <w:rFonts w:hint="default" w:ascii="Times New Roman" w:hAnsi="Times New Roman" w:eastAsia="宋体" w:cs="Times New Roman"/>
          <w:color w:val="auto"/>
          <w:lang w:val="en-US" w:eastAsia="zh-CN"/>
        </w:rPr>
        <w:t>纳入了初步设计，环境保护设施的设计符合环境保护设计规范的要求，落实了防治污染和生态破环的措施以及环境保护设施投资概算。</w:t>
      </w:r>
    </w:p>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2023</w:t>
      </w:r>
      <w:r>
        <w:rPr>
          <w:rFonts w:hint="eastAsia" w:ascii="Times New Roman" w:hAnsi="Times New Roman" w:eastAsia="宋体" w:cs="Times New Roman"/>
          <w:color w:val="auto"/>
          <w:lang w:eastAsia="zh-CN"/>
        </w:rPr>
        <w:t>年</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lang w:eastAsia="zh-CN"/>
        </w:rPr>
        <w:t>月，聊城市双盈包装制品有限公司委托山东格勤环境管理有限公司编制《聊城市双盈包装制品有限公司年产360万套泡沫包装箱项目环境影响报告表》，</w:t>
      </w:r>
      <w:r>
        <w:rPr>
          <w:rFonts w:hint="eastAsia" w:ascii="Times New Roman" w:hAnsi="Times New Roman" w:eastAsia="宋体" w:cs="Times New Roman"/>
          <w:color w:val="auto"/>
          <w:lang w:val="en-US" w:eastAsia="zh-CN"/>
        </w:rPr>
        <w:t>2023</w:t>
      </w:r>
      <w:r>
        <w:rPr>
          <w:rFonts w:hint="eastAsia" w:ascii="Times New Roman" w:hAnsi="Times New Roman" w:eastAsia="宋体" w:cs="Times New Roman"/>
          <w:color w:val="auto"/>
          <w:lang w:eastAsia="zh-CN"/>
        </w:rPr>
        <w:t>年</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月1</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lang w:eastAsia="zh-CN"/>
        </w:rPr>
        <w:t>日聊城市茌平区行政审批服务局以聊茌行审环管〔2023〕29号文对该项目进行了批复。</w:t>
      </w:r>
      <w:r>
        <w:rPr>
          <w:rFonts w:hint="eastAsia" w:ascii="Times New Roman" w:hAnsi="Times New Roman" w:eastAsia="宋体" w:cs="Times New Roman"/>
          <w:color w:val="auto"/>
          <w:lang w:val="en-US" w:eastAsia="zh-CN"/>
        </w:rPr>
        <w:t>2023年09月，公司委托山东玖玺环保工程有限公司于</w:t>
      </w:r>
      <w:r>
        <w:rPr>
          <w:rFonts w:hint="default" w:ascii="Times New Roman" w:hAnsi="Times New Roman" w:eastAsia="宋体" w:cs="Times New Roman"/>
          <w:color w:val="auto"/>
          <w:lang w:val="en-US" w:eastAsia="zh-CN"/>
        </w:rPr>
        <w:t>2023年10月14日、</w:t>
      </w:r>
      <w:r>
        <w:rPr>
          <w:rFonts w:hint="eastAsia" w:ascii="Times New Roman" w:hAnsi="Times New Roman" w:eastAsia="宋体" w:cs="Times New Roman"/>
          <w:color w:val="auto"/>
          <w:lang w:val="en-US" w:eastAsia="zh-CN"/>
        </w:rPr>
        <w:t>10月</w:t>
      </w:r>
      <w:r>
        <w:rPr>
          <w:rFonts w:hint="default" w:ascii="Times New Roman" w:hAnsi="Times New Roman" w:eastAsia="宋体" w:cs="Times New Roman"/>
          <w:color w:val="auto"/>
          <w:lang w:val="en-US" w:eastAsia="zh-CN"/>
        </w:rPr>
        <w:t>23日</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11月03日、11月04日、11月14日</w:t>
      </w:r>
      <w:r>
        <w:rPr>
          <w:rFonts w:hint="eastAsia" w:ascii="Times New Roman" w:hAnsi="Times New Roman" w:eastAsia="宋体" w:cs="Times New Roman"/>
          <w:color w:val="auto"/>
          <w:lang w:val="en-US" w:eastAsia="zh-CN"/>
        </w:rPr>
        <w:t>对聊城市双盈包装制品有限公司年产360万套泡沫包装箱项目进行了分期验收检测。后对检测数据进行分析论证，在此基础上完成了项目竣工环境保护验收监测报告表的编制。本次项目验收范围为聊城市双盈包装制品有限公司年产360万套泡沫包装箱项目（一期：年产180万套泡沫包装箱）。</w:t>
      </w:r>
    </w:p>
    <w:p>
      <w:pPr>
        <w:pStyle w:val="2"/>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验收结论为：</w:t>
      </w:r>
      <w:r>
        <w:rPr>
          <w:rFonts w:hint="eastAsia" w:ascii="Times New Roman" w:hAnsi="Times New Roman" w:cs="Times New Roman"/>
          <w:color w:val="auto"/>
          <w:lang w:val="en-US" w:eastAsia="zh-CN"/>
        </w:rPr>
        <w:t>聊城市双盈包装制品有限公司</w:t>
      </w:r>
      <w:r>
        <w:rPr>
          <w:rFonts w:hint="eastAsia" w:ascii="Times New Roman" w:hAnsi="Times New Roman" w:eastAsia="宋体" w:cs="Times New Roman"/>
          <w:color w:val="auto"/>
          <w:lang w:val="en-US" w:eastAsia="zh-CN"/>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于</w:t>
      </w:r>
      <w:r>
        <w:rPr>
          <w:rFonts w:hint="default" w:ascii="Times New Roman" w:hAnsi="Times New Roman" w:eastAsia="宋体" w:cs="Times New Roman"/>
          <w:color w:val="auto"/>
          <w:lang w:val="en-US" w:eastAsia="zh-CN"/>
        </w:rPr>
        <w:t>20</w:t>
      </w:r>
      <w:r>
        <w:rPr>
          <w:rFonts w:hint="eastAsia" w:ascii="Times New Roman" w:hAnsi="Times New Roman" w:eastAsia="宋体" w:cs="Times New Roman"/>
          <w:color w:val="auto"/>
          <w:lang w:val="en-US" w:eastAsia="zh-CN"/>
        </w:rPr>
        <w:t>2</w:t>
      </w:r>
      <w:r>
        <w:rPr>
          <w:rFonts w:hint="eastAsia" w:ascii="Times New Roman" w:cs="Times New Roman"/>
          <w:color w:val="auto"/>
          <w:lang w:val="en-US" w:eastAsia="zh-CN"/>
        </w:rPr>
        <w:t>3</w:t>
      </w:r>
      <w:r>
        <w:rPr>
          <w:rFonts w:hint="default" w:ascii="Times New Roman" w:hAnsi="Times New Roman" w:eastAsia="宋体" w:cs="Times New Roman"/>
          <w:color w:val="auto"/>
          <w:lang w:val="en-US" w:eastAsia="zh-CN"/>
        </w:rPr>
        <w:t>年</w:t>
      </w:r>
      <w:r>
        <w:rPr>
          <w:rFonts w:hint="eastAsia" w:ascii="Times New Roman" w:cs="Times New Roman"/>
          <w:color w:val="auto"/>
          <w:lang w:val="en-US" w:eastAsia="zh-CN"/>
        </w:rPr>
        <w:t>11</w:t>
      </w:r>
      <w:r>
        <w:rPr>
          <w:rFonts w:hint="default" w:ascii="Times New Roman" w:hAnsi="Times New Roman" w:eastAsia="宋体" w:cs="Times New Roman"/>
          <w:color w:val="auto"/>
          <w:lang w:val="en-US" w:eastAsia="zh-CN"/>
        </w:rPr>
        <w:t>月</w:t>
      </w:r>
      <w:r>
        <w:rPr>
          <w:rFonts w:hint="eastAsia" w:ascii="Times New Roman" w:cs="Times New Roman"/>
          <w:color w:val="auto"/>
          <w:lang w:val="en-US" w:eastAsia="zh-CN"/>
        </w:rPr>
        <w:t>25</w:t>
      </w:r>
      <w:r>
        <w:rPr>
          <w:rFonts w:hint="default" w:ascii="Times New Roman" w:hAnsi="Times New Roman" w:eastAsia="宋体" w:cs="Times New Roman"/>
          <w:color w:val="auto"/>
          <w:lang w:val="en-US" w:eastAsia="zh-CN"/>
        </w:rPr>
        <w:t>日</w:t>
      </w:r>
      <w:r>
        <w:rPr>
          <w:rFonts w:hint="eastAsia" w:ascii="Times New Roman" w:hAnsi="Times New Roman" w:eastAsia="宋体" w:cs="Times New Roman"/>
          <w:color w:val="auto"/>
          <w:lang w:val="en-US" w:eastAsia="zh-CN"/>
        </w:rPr>
        <w:t>验收工作组原则上同意该项目环保设施通过环保验收。</w:t>
      </w:r>
    </w:p>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pPr>
        <w:pStyle w:val="2"/>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建设项目设计、施工和验收期间未收到过公众反馈意见或投诉、反馈或投诉的内容。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环境影响报告书（表）及其审批部门审批决定中提出的，除环境保护设施外的其他环境保护措施，主要包括制度措施和配套措施等，现将需要说明的措施内容和要求梳理如下：</w:t>
      </w:r>
    </w:p>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（1）环保组织机构及规章制度</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本公司己建立环保组织机构及规章制度。本公司成立了环境保护工作组</w:t>
      </w:r>
      <w:r>
        <w:rPr>
          <w:rFonts w:hint="eastAsia" w:ascii="Times New Roman" w:hAnsi="Times New Roman" w:eastAsia="宋体" w:cs="Times New Roman"/>
          <w:color w:val="auto"/>
          <w:lang w:val="en-US" w:eastAsia="zh-CN"/>
        </w:rPr>
        <w:t>：</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组长</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负责企业环保全面工作，是企业环保的第一责任人。</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副组长</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本公司针对各项环保设施制订了运行维护管理制度、设施操作规程。</w:t>
      </w:r>
    </w:p>
    <w:p>
      <w:pPr>
        <w:pStyle w:val="2"/>
        <w:numPr>
          <w:ilvl w:val="0"/>
          <w:numId w:val="1"/>
        </w:numPr>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环境风险防范措施</w:t>
      </w:r>
    </w:p>
    <w:p>
      <w:pPr>
        <w:pStyle w:val="2"/>
        <w:numPr>
          <w:ilvl w:val="0"/>
          <w:numId w:val="0"/>
        </w:numPr>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cs="Times New Roman"/>
          <w:color w:val="auto"/>
          <w:lang w:val="en-US" w:eastAsia="zh-CN"/>
        </w:rPr>
        <w:t>1.运输事故防范措施</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运输过程中的风险主要为起火燃烧，运输车辆应配备相应类别和数量的消防器材及泄露应急设施。中途停留时应远离火种、热源、高温区。运输途中一旦发生事故，负责运输的人员应采取应急措施的同时，迅速报告公安机关有关部门和环保有关部门，疏散群众，防治事态扩大，并协助前来救援的公安、交通、消防人员抢教伤者和物资，将损失降至最小。</w:t>
      </w:r>
    </w:p>
    <w:p>
      <w:pPr>
        <w:pStyle w:val="2"/>
        <w:numPr>
          <w:ilvl w:val="0"/>
          <w:numId w:val="0"/>
        </w:numPr>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cs="Times New Roman"/>
          <w:color w:val="auto"/>
          <w:lang w:val="en-US" w:eastAsia="zh-CN"/>
        </w:rPr>
        <w:t>2.</w:t>
      </w:r>
      <w:r>
        <w:rPr>
          <w:rFonts w:hint="default" w:ascii="Times New Roman" w:hAnsi="Times New Roman" w:eastAsia="宋体" w:cs="Times New Roman"/>
          <w:color w:val="auto"/>
          <w:lang w:val="en-US" w:eastAsia="zh-CN"/>
        </w:rPr>
        <w:t>储存过程中的风险防范</w:t>
      </w:r>
    </w:p>
    <w:p>
      <w:pPr>
        <w:pStyle w:val="2"/>
        <w:numPr>
          <w:ilvl w:val="0"/>
          <w:numId w:val="0"/>
        </w:numPr>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润滑油应储存于阴凉通风处，远离火种、热源、氧化剂等，常温以不超过30'C为宜。防止阳光直射。保持容器密封。储存间内的照明、通风等设施应采用防爆型。配备相应品种和数量的消防器材。储存时要有防火防爆技术措施。禁止使用易产生火花的机械设备和工具。罐装时注意流速，防止静电积聚。搬运时要轻装轻卸，防止包装及容器损坏。厂区配备相应数量的消防器材，储存区应备有泄露应急处理池和合适的收容设备，以便发生事故时及时收集，防止污染附近水域。</w:t>
      </w:r>
    </w:p>
    <w:p>
      <w:pPr>
        <w:pStyle w:val="2"/>
        <w:numPr>
          <w:ilvl w:val="0"/>
          <w:numId w:val="0"/>
        </w:numPr>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w:t>
      </w:r>
      <w:r>
        <w:rPr>
          <w:rFonts w:hint="eastAsia" w:ascii="Times New Roman" w:cs="Times New Roman"/>
          <w:color w:val="auto"/>
          <w:lang w:val="en-US" w:eastAsia="zh-CN"/>
        </w:rPr>
        <w:t>.</w:t>
      </w:r>
      <w:r>
        <w:rPr>
          <w:rFonts w:hint="default" w:ascii="Times New Roman" w:hAnsi="Times New Roman" w:eastAsia="宋体" w:cs="Times New Roman"/>
          <w:color w:val="auto"/>
          <w:lang w:val="en-US" w:eastAsia="zh-CN"/>
        </w:rPr>
        <w:t>使用过程安全防范措施</w:t>
      </w:r>
    </w:p>
    <w:p>
      <w:pPr>
        <w:pStyle w:val="2"/>
        <w:numPr>
          <w:ilvl w:val="0"/>
          <w:numId w:val="0"/>
        </w:numPr>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对可能产生静电危险的物品采取工业静电防范措施，危险区内安装的电气设备应按照相应的区域等级采取防爆，所有的电气设备均应接地。应加强安全检查和安全知识教育，增强防范意识，防止事故发生;应当加强现场管理，定期巡查、检修，加强安全技能培训，实现安全生产;要有充分的应急措施，主要是针对突发事件如停电、火灾和自然灾害等发生时人群的疏散问题。一旦发生意外，应立即采取应急措施，确保人群有处理突发事件的能力。</w:t>
      </w:r>
    </w:p>
    <w:p>
      <w:pPr>
        <w:pStyle w:val="2"/>
        <w:spacing w:line="360" w:lineRule="auto"/>
        <w:ind w:firstLine="480" w:firstLineChars="200"/>
        <w:jc w:val="both"/>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（3）环境监测计划</w:t>
      </w:r>
    </w:p>
    <w:p>
      <w:pPr>
        <w:pStyle w:val="2"/>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根据《排污单位自行监测技术指南 总则》（</w:t>
      </w:r>
      <w:r>
        <w:rPr>
          <w:rFonts w:hint="default" w:ascii="Times New Roman" w:hAnsi="Times New Roman" w:eastAsia="宋体" w:cs="Times New Roman"/>
          <w:color w:val="auto"/>
          <w:lang w:val="en-US" w:eastAsia="zh-CN"/>
        </w:rPr>
        <w:t>HJ 819-2017</w:t>
      </w:r>
      <w:r>
        <w:rPr>
          <w:rFonts w:hint="eastAsia" w:ascii="Times New Roman" w:hAnsi="Times New Roman" w:eastAsia="宋体" w:cs="Times New Roman"/>
          <w:color w:val="auto"/>
          <w:lang w:val="en-US" w:eastAsia="zh-CN"/>
        </w:rPr>
        <w:t>）</w:t>
      </w:r>
      <w:r>
        <w:rPr>
          <w:rFonts w:hint="eastAsia" w:ascii="Times New Roman" w:cs="Times New Roman"/>
          <w:color w:val="auto"/>
          <w:lang w:val="en-US" w:eastAsia="zh-CN"/>
        </w:rPr>
        <w:t>相关要求，确定废气污染源检测项目、监测点的选取及监测频率等，</w:t>
      </w:r>
      <w:r>
        <w:rPr>
          <w:rFonts w:hint="eastAsia" w:ascii="Times New Roman" w:hAnsi="Times New Roman" w:eastAsia="宋体" w:cs="Times New Roman"/>
          <w:color w:val="auto"/>
          <w:lang w:val="en-US" w:eastAsia="zh-CN"/>
        </w:rPr>
        <w:t>本项目</w:t>
      </w:r>
      <w:r>
        <w:rPr>
          <w:rFonts w:hint="eastAsia" w:ascii="Times New Roman" w:cs="Times New Roman"/>
          <w:color w:val="auto"/>
          <w:lang w:val="en-US" w:eastAsia="zh-CN"/>
        </w:rPr>
        <w:t>废气、噪声</w:t>
      </w:r>
      <w:r>
        <w:rPr>
          <w:rFonts w:hint="eastAsia" w:ascii="Times New Roman" w:hAnsi="Times New Roman" w:eastAsia="宋体" w:cs="Times New Roman"/>
          <w:color w:val="auto"/>
          <w:lang w:val="en-US" w:eastAsia="zh-CN"/>
        </w:rPr>
        <w:t>自行监测计划见下表：</w:t>
      </w:r>
    </w:p>
    <w:p>
      <w:pPr>
        <w:pStyle w:val="2"/>
        <w:spacing w:line="360" w:lineRule="auto"/>
        <w:ind w:firstLine="482" w:firstLineChars="20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项目自行监测计划一览表</w:t>
      </w:r>
    </w:p>
    <w:tbl>
      <w:tblPr>
        <w:tblStyle w:val="17"/>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shd w:val="clear" w:color="auto" w:fill="auto"/>
        <w:tblLayout w:type="autofit"/>
        <w:tblCellMar>
          <w:top w:w="0" w:type="dxa"/>
          <w:left w:w="108" w:type="dxa"/>
          <w:bottom w:w="0" w:type="dxa"/>
          <w:right w:w="108" w:type="dxa"/>
        </w:tblCellMar>
      </w:tblPr>
      <w:tblGrid>
        <w:gridCol w:w="1737"/>
        <w:gridCol w:w="1737"/>
        <w:gridCol w:w="2032"/>
        <w:gridCol w:w="1821"/>
        <w:gridCol w:w="1358"/>
      </w:tblGrid>
      <w:tr>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1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环境要素</w:t>
            </w:r>
          </w:p>
        </w:tc>
        <w:tc>
          <w:tcPr>
            <w:tcW w:w="1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监测位置</w:t>
            </w:r>
          </w:p>
        </w:tc>
        <w:tc>
          <w:tcPr>
            <w:tcW w:w="203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监测项目</w:t>
            </w:r>
          </w:p>
        </w:tc>
        <w:tc>
          <w:tcPr>
            <w:tcW w:w="182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频次</w:t>
            </w:r>
          </w:p>
        </w:tc>
        <w:tc>
          <w:tcPr>
            <w:tcW w:w="135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108" w:type="dxa"/>
            <w:bottom w:w="0" w:type="dxa"/>
            <w:right w:w="108" w:type="dxa"/>
          </w:tblCellMar>
        </w:tblPrEx>
        <w:trPr>
          <w:trHeight w:val="540" w:hRule="atLeast"/>
          <w:jc w:val="center"/>
        </w:trPr>
        <w:tc>
          <w:tcPr>
            <w:tcW w:w="1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有组织</w:t>
            </w:r>
          </w:p>
        </w:tc>
        <w:tc>
          <w:tcPr>
            <w:tcW w:w="1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DA001</w:t>
            </w:r>
          </w:p>
        </w:tc>
        <w:tc>
          <w:tcPr>
            <w:tcW w:w="203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VOCs、苯乙</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烯、臭气浓度</w:t>
            </w:r>
          </w:p>
        </w:tc>
        <w:tc>
          <w:tcPr>
            <w:tcW w:w="182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每半年一次</w:t>
            </w:r>
          </w:p>
        </w:tc>
        <w:tc>
          <w:tcPr>
            <w:tcW w:w="135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委托监测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108" w:type="dxa"/>
            <w:bottom w:w="0" w:type="dxa"/>
            <w:right w:w="108" w:type="dxa"/>
          </w:tblCellMar>
        </w:tblPrEx>
        <w:trPr>
          <w:trHeight w:val="540" w:hRule="atLeast"/>
          <w:jc w:val="center"/>
        </w:trPr>
        <w:tc>
          <w:tcPr>
            <w:tcW w:w="1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无组织</w:t>
            </w:r>
          </w:p>
        </w:tc>
        <w:tc>
          <w:tcPr>
            <w:tcW w:w="1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厂界</w:t>
            </w:r>
          </w:p>
        </w:tc>
        <w:tc>
          <w:tcPr>
            <w:tcW w:w="203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VOCs、苯乙</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烯、臭气浓度</w:t>
            </w:r>
          </w:p>
        </w:tc>
        <w:tc>
          <w:tcPr>
            <w:tcW w:w="182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每年一次</w:t>
            </w:r>
          </w:p>
        </w:tc>
        <w:tc>
          <w:tcPr>
            <w:tcW w:w="1358"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000000" w:sz="4" w:space="0"/>
          </w:tblBorders>
          <w:tblCellMar>
            <w:top w:w="0" w:type="dxa"/>
            <w:left w:w="108" w:type="dxa"/>
            <w:bottom w:w="0" w:type="dxa"/>
            <w:right w:w="108" w:type="dxa"/>
          </w:tblCellMar>
        </w:tblPrEx>
        <w:trPr>
          <w:trHeight w:val="540" w:hRule="atLeast"/>
          <w:jc w:val="center"/>
        </w:trPr>
        <w:tc>
          <w:tcPr>
            <w:tcW w:w="1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噪声</w:t>
            </w:r>
          </w:p>
        </w:tc>
        <w:tc>
          <w:tcPr>
            <w:tcW w:w="1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厂界四周</w:t>
            </w:r>
          </w:p>
        </w:tc>
        <w:tc>
          <w:tcPr>
            <w:tcW w:w="2032" w:type="dxa"/>
            <w:tcBorders>
              <w:tl2br w:val="nil"/>
              <w:tr2bl w:val="nil"/>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ascii="Times New Roman" w:hAnsi="Times New Roman" w:eastAsia="宋体" w:cs="Times New Roman"/>
                <w:i w:val="0"/>
                <w:iCs w:val="0"/>
                <w:color w:val="000000"/>
                <w:kern w:val="0"/>
                <w:sz w:val="22"/>
                <w:szCs w:val="22"/>
                <w:u w:val="none"/>
                <w:lang w:val="en-US" w:eastAsia="zh-CN" w:bidi="ar"/>
              </w:rPr>
              <w:t>Leq dB(A)</w:t>
            </w:r>
          </w:p>
        </w:tc>
        <w:tc>
          <w:tcPr>
            <w:tcW w:w="182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每季昼间各一次</w:t>
            </w:r>
          </w:p>
        </w:tc>
        <w:tc>
          <w:tcPr>
            <w:tcW w:w="1358"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（1）区域削减及淘汰落后产能</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本公司不涉及区域削减污染物总量措施，所有生产设备中没有需淘汰的落后产能设备。</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（2）防护距离控制及居民搬迁</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本项目卫生防护距离内无环境敏感点。</w:t>
      </w:r>
    </w:p>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outlineLvl w:val="9"/>
        <w:rPr>
          <w:rFonts w:hint="eastAsia" w:ascii="Times New Roman" w:hAnsi="Times New Roman" w:cs="Times New Roman" w:eastAsiaTheme="minorEastAsia"/>
          <w:b/>
          <w:sz w:val="28"/>
          <w:szCs w:val="28"/>
          <w:lang w:val="en-US" w:eastAsia="zh-CN"/>
        </w:rPr>
      </w:pPr>
      <w:bookmarkStart w:id="0" w:name="_GoBack"/>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bookmarkEnd w:id="0"/>
    <w:p>
      <w:pPr>
        <w:pStyle w:val="2"/>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本项目不涉及林地、珍稀动物保护、区域环境整治、相关外围工程建设情况等。</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pPr>
        <w:pStyle w:val="2"/>
        <w:spacing w:line="360" w:lineRule="auto"/>
        <w:ind w:firstLine="480"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项目</w:t>
      </w:r>
      <w:r>
        <w:rPr>
          <w:rFonts w:hint="default" w:ascii="Times New Roman" w:hAnsi="Times New Roman" w:eastAsia="宋体" w:cs="Times New Roman"/>
          <w:color w:val="auto"/>
          <w:lang w:val="en-US" w:eastAsia="zh-CN"/>
        </w:rPr>
        <w:t>验收现场检查会</w:t>
      </w:r>
      <w:r>
        <w:rPr>
          <w:rFonts w:hint="eastAsia" w:ascii="Times New Roman" w:hAnsi="Times New Roman" w:eastAsia="宋体" w:cs="Times New Roman"/>
          <w:color w:val="auto"/>
          <w:lang w:val="en-US" w:eastAsia="zh-CN"/>
        </w:rPr>
        <w:t>专家提出的整改意见及整改措施如下：</w:t>
      </w:r>
    </w:p>
    <w:p>
      <w:pPr>
        <w:pStyle w:val="2"/>
        <w:spacing w:line="360" w:lineRule="auto"/>
        <w:ind w:firstLine="480" w:firstLineChars="200"/>
        <w:jc w:val="both"/>
        <w:rPr>
          <w:rFonts w:hint="eastAsia" w:ascii="Times New Roman" w:hAnsi="Times New Roman" w:eastAsia="宋体" w:cs="Times New Roman"/>
          <w:color w:val="auto"/>
          <w:u w:val="single"/>
          <w:lang w:val="en-US" w:eastAsia="zh-CN"/>
        </w:rPr>
      </w:pPr>
      <w:r>
        <w:rPr>
          <w:rStyle w:val="35"/>
          <w:rFonts w:hint="eastAsia" w:ascii="Times New Roman" w:hAnsi="Times New Roman" w:eastAsia="宋体" w:cs="Times New Roman"/>
          <w:sz w:val="24"/>
          <w:szCs w:val="24"/>
          <w:lang w:val="en-US" w:eastAsia="zh-CN"/>
        </w:rPr>
        <w:t>1、加强车间管理，安排专人及时清理车间地面上撒漏的物料，保持车间地面清洁</w:t>
      </w:r>
      <w:r>
        <w:rPr>
          <w:rStyle w:val="35"/>
          <w:rFonts w:hint="eastAsia" w:ascii="Times New Roman" w:cs="Times New Roman"/>
          <w:sz w:val="24"/>
          <w:szCs w:val="24"/>
          <w:lang w:val="en-US" w:eastAsia="zh-CN"/>
        </w:rPr>
        <w:t>；</w:t>
      </w:r>
    </w:p>
    <w:p>
      <w:pPr>
        <w:pStyle w:val="2"/>
        <w:spacing w:line="360" w:lineRule="auto"/>
        <w:ind w:firstLine="480" w:firstLineChars="200"/>
        <w:jc w:val="both"/>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整改/修改情况：公司已加强车间管理，并安排专人及时清理车间地面上撒漏的物料，保持车间地面清洁</w:t>
      </w:r>
      <w:r>
        <w:rPr>
          <w:rFonts w:hint="eastAsia" w:ascii="Times New Roman" w:cs="Times New Roman"/>
          <w:color w:val="auto"/>
          <w:u w:val="single"/>
          <w:lang w:val="en-US" w:eastAsia="zh-CN"/>
        </w:rPr>
        <w:t>。</w:t>
      </w:r>
    </w:p>
    <w:p>
      <w:pPr>
        <w:pStyle w:val="2"/>
        <w:numPr>
          <w:ilvl w:val="0"/>
          <w:numId w:val="0"/>
        </w:numPr>
        <w:spacing w:line="360" w:lineRule="auto"/>
        <w:ind w:firstLine="480" w:firstLineChars="200"/>
        <w:jc w:val="both"/>
        <w:rPr>
          <w:rStyle w:val="35"/>
          <w:rFonts w:hint="eastAsia" w:ascii="Times New Roman" w:hAnsi="Times New Roman" w:eastAsia="宋体" w:cs="Times New Roman"/>
          <w:sz w:val="24"/>
          <w:szCs w:val="24"/>
          <w:lang w:val="en-US" w:eastAsia="zh-CN"/>
        </w:rPr>
      </w:pPr>
      <w:r>
        <w:rPr>
          <w:rStyle w:val="35"/>
          <w:rFonts w:hint="eastAsia" w:ascii="Times New Roman" w:hAnsi="Times New Roman" w:eastAsia="宋体" w:cs="Times New Roman"/>
          <w:sz w:val="24"/>
          <w:szCs w:val="24"/>
          <w:lang w:val="en-US" w:eastAsia="zh-CN"/>
        </w:rPr>
        <w:t>2</w:t>
      </w:r>
      <w:r>
        <w:rPr>
          <w:rStyle w:val="35"/>
          <w:rFonts w:hint="default" w:ascii="Times New Roman" w:hAnsi="Times New Roman" w:eastAsia="宋体" w:cs="Times New Roman"/>
          <w:sz w:val="24"/>
          <w:szCs w:val="24"/>
          <w:lang w:val="en-US" w:eastAsia="zh-CN"/>
        </w:rPr>
        <w:t>、定期</w:t>
      </w:r>
      <w:r>
        <w:rPr>
          <w:rStyle w:val="35"/>
          <w:rFonts w:hint="eastAsia" w:ascii="Times New Roman" w:hAnsi="Times New Roman" w:eastAsia="宋体" w:cs="Times New Roman"/>
          <w:sz w:val="24"/>
          <w:szCs w:val="24"/>
          <w:lang w:val="en-US" w:eastAsia="zh-CN"/>
        </w:rPr>
        <w:t>安排专人</w:t>
      </w:r>
      <w:r>
        <w:rPr>
          <w:rStyle w:val="35"/>
          <w:rFonts w:hint="default" w:ascii="Times New Roman" w:hAnsi="Times New Roman" w:eastAsia="宋体" w:cs="Times New Roman"/>
          <w:sz w:val="24"/>
          <w:szCs w:val="24"/>
          <w:lang w:val="en-US" w:eastAsia="zh-CN"/>
        </w:rPr>
        <w:t>检查废气收集设施的运行情况，确保废气有效收集和处理</w:t>
      </w:r>
      <w:r>
        <w:rPr>
          <w:rStyle w:val="35"/>
          <w:rFonts w:hint="eastAsia" w:ascii="Times New Roman" w:hAnsi="Times New Roman" w:eastAsia="宋体" w:cs="Times New Roman"/>
          <w:sz w:val="24"/>
          <w:szCs w:val="24"/>
          <w:lang w:val="en-US" w:eastAsia="zh-CN"/>
        </w:rPr>
        <w:t>；</w:t>
      </w:r>
    </w:p>
    <w:p>
      <w:pPr>
        <w:pStyle w:val="2"/>
        <w:spacing w:line="360" w:lineRule="auto"/>
        <w:ind w:firstLine="480" w:firstLineChars="200"/>
        <w:jc w:val="both"/>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整改/修改情况：公司已</w:t>
      </w:r>
      <w:r>
        <w:rPr>
          <w:rFonts w:hint="default" w:ascii="Times New Roman" w:hAnsi="Times New Roman" w:eastAsia="宋体" w:cs="Times New Roman"/>
          <w:color w:val="auto"/>
          <w:u w:val="single"/>
          <w:lang w:val="en-US" w:eastAsia="zh-CN"/>
        </w:rPr>
        <w:t>定期</w:t>
      </w:r>
      <w:r>
        <w:rPr>
          <w:rFonts w:hint="eastAsia" w:ascii="Times New Roman" w:hAnsi="Times New Roman" w:eastAsia="宋体" w:cs="Times New Roman"/>
          <w:color w:val="auto"/>
          <w:u w:val="single"/>
          <w:lang w:val="en-US" w:eastAsia="zh-CN"/>
        </w:rPr>
        <w:t>安排专人</w:t>
      </w:r>
      <w:r>
        <w:rPr>
          <w:rFonts w:hint="default" w:ascii="Times New Roman" w:hAnsi="Times New Roman" w:eastAsia="宋体" w:cs="Times New Roman"/>
          <w:color w:val="auto"/>
          <w:u w:val="single"/>
          <w:lang w:val="en-US" w:eastAsia="zh-CN"/>
        </w:rPr>
        <w:t>检查废气收集设施的运行情况，确保废气有效收集和处理</w:t>
      </w:r>
      <w:r>
        <w:rPr>
          <w:rFonts w:hint="eastAsia" w:ascii="Times New Roman" w:hAnsi="Times New Roman" w:eastAsia="宋体" w:cs="Times New Roman"/>
          <w:color w:val="auto"/>
          <w:u w:val="single"/>
          <w:lang w:val="en-US" w:eastAsia="zh-CN"/>
        </w:rPr>
        <w:t>。</w:t>
      </w:r>
    </w:p>
    <w:p>
      <w:pPr>
        <w:pStyle w:val="2"/>
        <w:numPr>
          <w:ilvl w:val="0"/>
          <w:numId w:val="0"/>
        </w:numPr>
        <w:spacing w:line="360" w:lineRule="auto"/>
        <w:ind w:firstLine="480" w:firstLineChars="200"/>
        <w:jc w:val="both"/>
        <w:rPr>
          <w:rStyle w:val="35"/>
          <w:rFonts w:hint="eastAsia" w:ascii="Times New Roman" w:hAnsi="Times New Roman" w:eastAsia="宋体" w:cs="Times New Roman"/>
          <w:sz w:val="24"/>
          <w:szCs w:val="24"/>
          <w:lang w:val="en-US" w:eastAsia="zh-CN"/>
        </w:rPr>
      </w:pPr>
      <w:r>
        <w:rPr>
          <w:rStyle w:val="35"/>
          <w:rFonts w:hint="eastAsia" w:ascii="Times New Roman" w:hAnsi="Times New Roman" w:cs="Times New Roman"/>
          <w:sz w:val="24"/>
          <w:szCs w:val="24"/>
          <w:lang w:val="en-US" w:eastAsia="zh-CN"/>
        </w:rPr>
        <w:t>3、</w:t>
      </w:r>
      <w:r>
        <w:rPr>
          <w:rStyle w:val="35"/>
          <w:rFonts w:hint="eastAsia" w:ascii="Times New Roman" w:hAnsi="Times New Roman" w:eastAsia="宋体" w:cs="Times New Roman"/>
          <w:sz w:val="24"/>
          <w:szCs w:val="24"/>
          <w:lang w:val="en-US" w:eastAsia="zh-CN"/>
        </w:rPr>
        <w:t>根据《固定污染源废气监测点位设置技术规范》（</w:t>
      </w:r>
      <w:r>
        <w:rPr>
          <w:rStyle w:val="35"/>
          <w:rFonts w:hint="default" w:ascii="Times New Roman" w:hAnsi="Times New Roman" w:eastAsia="宋体" w:cs="Times New Roman"/>
          <w:sz w:val="24"/>
          <w:szCs w:val="24"/>
          <w:lang w:val="en-US" w:eastAsia="zh-CN"/>
        </w:rPr>
        <w:t>DB37/T 3535-2019</w:t>
      </w:r>
      <w:r>
        <w:rPr>
          <w:rStyle w:val="35"/>
          <w:rFonts w:hint="eastAsia" w:ascii="Times New Roman" w:hAnsi="Times New Roman" w:eastAsia="宋体" w:cs="Times New Roman"/>
          <w:sz w:val="24"/>
          <w:szCs w:val="24"/>
          <w:lang w:val="en-US" w:eastAsia="zh-CN"/>
        </w:rPr>
        <w:t>）的要求，规范设置大气污染物监测平台、监测点位、监测孔及相关环保标识；</w:t>
      </w:r>
    </w:p>
    <w:p>
      <w:pPr>
        <w:pStyle w:val="2"/>
        <w:spacing w:line="360" w:lineRule="auto"/>
        <w:ind w:firstLine="480" w:firstLineChars="200"/>
        <w:jc w:val="both"/>
        <w:rPr>
          <w:rFonts w:hint="eastAsia"/>
          <w:lang w:val="en-US" w:eastAsia="zh-CN"/>
        </w:rPr>
      </w:pPr>
      <w:r>
        <w:rPr>
          <w:rFonts w:hint="eastAsia" w:ascii="Times New Roman" w:hAnsi="Times New Roman" w:eastAsia="宋体" w:cs="Times New Roman"/>
          <w:color w:val="auto"/>
          <w:u w:val="single"/>
          <w:lang w:val="en-US" w:eastAsia="zh-CN"/>
        </w:rPr>
        <w:t>整改/修改情况：</w:t>
      </w:r>
      <w:r>
        <w:rPr>
          <w:rFonts w:hint="eastAsia" w:ascii="Times New Roman" w:cs="Times New Roman"/>
          <w:color w:val="auto"/>
          <w:u w:val="single"/>
          <w:lang w:val="en-US" w:eastAsia="zh-CN"/>
        </w:rPr>
        <w:t>公司已根据《固定污染源废气监测点位设置技术规范》（DB37/T 3535-2019）的要求，并规范设置大气污染物监测平台、监测点位、监测孔及相关环保标识。</w:t>
      </w:r>
    </w:p>
    <w:p>
      <w:pPr>
        <w:keepNext w:val="0"/>
        <w:keepLines w:val="0"/>
        <w:pageBreakBefore w:val="0"/>
        <w:widowControl/>
        <w:numPr>
          <w:ilvl w:val="0"/>
          <w:numId w:val="0"/>
        </w:numPr>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4</w:t>
      </w:r>
      <w:r>
        <w:rPr>
          <w:rFonts w:hint="eastAsia" w:ascii="Times New Roman" w:hAnsi="Times New Roman" w:eastAsia="宋体" w:cs="Times New Roman"/>
          <w:color w:val="auto"/>
          <w:kern w:val="2"/>
          <w:sz w:val="24"/>
          <w:szCs w:val="24"/>
          <w:lang w:val="en-US" w:eastAsia="zh-CN" w:bidi="ar-SA"/>
        </w:rPr>
        <w:t>、项目运营过程中，严格执行排污许可排放标准，一般工业固废严格按照《一般工业固体废物贮存和填埋污染控制标准》（GB 18599-2020）要求执行，危险废物严格按照《危险废物贮存污染控制标准》（GB 18597-2023）要求执行。</w:t>
      </w:r>
    </w:p>
    <w:p>
      <w:pPr>
        <w:pStyle w:val="2"/>
        <w:keepNext w:val="0"/>
        <w:keepLines w:val="0"/>
        <w:pageBreakBefore w:val="0"/>
        <w:numPr>
          <w:ilvl w:val="0"/>
          <w:numId w:val="0"/>
        </w:numPr>
        <w:kinsoku/>
        <w:wordWrap/>
        <w:overflowPunct/>
        <w:topLinePunct w:val="0"/>
        <w:bidi w:val="0"/>
        <w:adjustRightInd w:val="0"/>
        <w:spacing w:line="360" w:lineRule="auto"/>
        <w:ind w:firstLine="480" w:firstLineChars="200"/>
        <w:jc w:val="both"/>
        <w:textAlignment w:val="auto"/>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color w:val="auto"/>
          <w:u w:val="single"/>
          <w:lang w:val="en-US" w:eastAsia="zh-CN"/>
        </w:rPr>
        <w:t>整改/修改情况：公司已</w:t>
      </w:r>
      <w:r>
        <w:rPr>
          <w:rFonts w:hint="default" w:ascii="Times New Roman" w:hAnsi="Times New Roman" w:cs="Times New Roman" w:eastAsiaTheme="minorEastAsia"/>
          <w:color w:val="000000"/>
          <w:sz w:val="24"/>
          <w:szCs w:val="24"/>
          <w:highlight w:val="none"/>
          <w:u w:val="single"/>
          <w:lang w:val="en-US" w:eastAsia="zh-CN"/>
        </w:rPr>
        <w:t>严格执行排污许可排放标准，一般工业固废严格按照《一般工业固体废物贮存和填埋污染控制标准》（GB 18599-2020）要求执行</w:t>
      </w:r>
      <w:r>
        <w:rPr>
          <w:rFonts w:hint="eastAsia" w:ascii="Times New Roman" w:hAnsi="Times New Roman" w:cs="Times New Roman" w:eastAsiaTheme="minorEastAsia"/>
          <w:color w:val="000000"/>
          <w:sz w:val="24"/>
          <w:szCs w:val="24"/>
          <w:highlight w:val="none"/>
          <w:u w:val="single"/>
          <w:lang w:val="en-US" w:eastAsia="zh-CN"/>
        </w:rPr>
        <w:t>，危险废物</w:t>
      </w:r>
      <w:r>
        <w:rPr>
          <w:rFonts w:hint="default" w:ascii="Times New Roman" w:hAnsi="Times New Roman" w:cs="Times New Roman" w:eastAsiaTheme="minorEastAsia"/>
          <w:color w:val="000000"/>
          <w:sz w:val="24"/>
          <w:szCs w:val="24"/>
          <w:highlight w:val="none"/>
          <w:u w:val="single"/>
          <w:lang w:val="en-US" w:eastAsia="zh-CN"/>
        </w:rPr>
        <w:t>严格按照《危险废物贮存污染控制标准》（GB 18597-2023）要求执行</w:t>
      </w:r>
      <w:r>
        <w:rPr>
          <w:rFonts w:hint="eastAsia" w:ascii="Times New Roman" w:hAnsi="Times New Roman" w:cs="Times New Roman" w:eastAsiaTheme="minorEastAsia"/>
          <w:color w:val="000000"/>
          <w:sz w:val="24"/>
          <w:szCs w:val="24"/>
          <w:highlight w:val="none"/>
          <w:u w:val="single"/>
          <w:lang w:val="en-US" w:eastAsia="zh-CN"/>
        </w:rPr>
        <w:t>。</w:t>
      </w:r>
    </w:p>
    <w:p>
      <w:pPr>
        <w:pStyle w:val="2"/>
        <w:numPr>
          <w:ilvl w:val="0"/>
          <w:numId w:val="0"/>
        </w:numPr>
        <w:ind w:leftChars="200"/>
        <w:rPr>
          <w:rFonts w:hint="default"/>
          <w:lang w:val="en-US" w:eastAsia="zh-CN"/>
        </w:rPr>
      </w:pPr>
    </w:p>
    <w:p>
      <w:pPr>
        <w:pStyle w:val="2"/>
        <w:numPr>
          <w:ilvl w:val="0"/>
          <w:numId w:val="0"/>
        </w:numPr>
        <w:spacing w:line="360" w:lineRule="auto"/>
        <w:ind w:firstLine="480" w:firstLineChars="200"/>
        <w:jc w:val="both"/>
        <w:rPr>
          <w:rFonts w:hint="default" w:ascii="Times New Roman" w:hAnsi="Times New Roman" w:cs="Times New Roman" w:eastAsiaTheme="minorEastAsia"/>
          <w:color w:val="000000"/>
          <w:sz w:val="24"/>
          <w:szCs w:val="24"/>
          <w:highlight w:val="none"/>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C1AB35"/>
    <w:multiLevelType w:val="singleLevel"/>
    <w:tmpl w:val="19C1AB3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NTdiY2RhYjQ3YjVlZDI1MjA0ZTVjNjliMWE4OW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5AA653C"/>
    <w:rsid w:val="071E6A39"/>
    <w:rsid w:val="08981135"/>
    <w:rsid w:val="0A113A96"/>
    <w:rsid w:val="0A193000"/>
    <w:rsid w:val="0A6624BF"/>
    <w:rsid w:val="0ADB5E7A"/>
    <w:rsid w:val="0AEC4F01"/>
    <w:rsid w:val="0B472137"/>
    <w:rsid w:val="0B922119"/>
    <w:rsid w:val="0C8223EB"/>
    <w:rsid w:val="0D0001DD"/>
    <w:rsid w:val="0E6A1957"/>
    <w:rsid w:val="140B7F29"/>
    <w:rsid w:val="14524026"/>
    <w:rsid w:val="146F7D91"/>
    <w:rsid w:val="16154F53"/>
    <w:rsid w:val="16C94E7B"/>
    <w:rsid w:val="17B71A49"/>
    <w:rsid w:val="182F2017"/>
    <w:rsid w:val="19A12421"/>
    <w:rsid w:val="19EE4535"/>
    <w:rsid w:val="1A147C32"/>
    <w:rsid w:val="1AAE2376"/>
    <w:rsid w:val="1AB377E9"/>
    <w:rsid w:val="1B1851B0"/>
    <w:rsid w:val="1B60171F"/>
    <w:rsid w:val="1F7E33E3"/>
    <w:rsid w:val="20C33720"/>
    <w:rsid w:val="218C6A2F"/>
    <w:rsid w:val="22B36145"/>
    <w:rsid w:val="23D34A58"/>
    <w:rsid w:val="240F39E8"/>
    <w:rsid w:val="24657C98"/>
    <w:rsid w:val="24C100AF"/>
    <w:rsid w:val="26F95E73"/>
    <w:rsid w:val="270B5883"/>
    <w:rsid w:val="284F6DA3"/>
    <w:rsid w:val="288C09DE"/>
    <w:rsid w:val="29DF7CB3"/>
    <w:rsid w:val="2ABB7EB6"/>
    <w:rsid w:val="2C330031"/>
    <w:rsid w:val="2DDB1827"/>
    <w:rsid w:val="2DE661D0"/>
    <w:rsid w:val="2F1728B1"/>
    <w:rsid w:val="300A1801"/>
    <w:rsid w:val="30674F5B"/>
    <w:rsid w:val="325A4303"/>
    <w:rsid w:val="329E7375"/>
    <w:rsid w:val="33024A12"/>
    <w:rsid w:val="330A459A"/>
    <w:rsid w:val="351A3611"/>
    <w:rsid w:val="35475771"/>
    <w:rsid w:val="35CD57AB"/>
    <w:rsid w:val="370E1BD7"/>
    <w:rsid w:val="38C85879"/>
    <w:rsid w:val="39C57C8B"/>
    <w:rsid w:val="3A08395A"/>
    <w:rsid w:val="3AF90D99"/>
    <w:rsid w:val="3BD220D5"/>
    <w:rsid w:val="3BD50FCD"/>
    <w:rsid w:val="3BE47F2F"/>
    <w:rsid w:val="3E823669"/>
    <w:rsid w:val="3F4A7E6C"/>
    <w:rsid w:val="408829FA"/>
    <w:rsid w:val="40FE1081"/>
    <w:rsid w:val="42A64878"/>
    <w:rsid w:val="442F4EF4"/>
    <w:rsid w:val="446F2B9F"/>
    <w:rsid w:val="44756DC2"/>
    <w:rsid w:val="44CD1674"/>
    <w:rsid w:val="452C453B"/>
    <w:rsid w:val="45815C6A"/>
    <w:rsid w:val="459B1ECB"/>
    <w:rsid w:val="471F573B"/>
    <w:rsid w:val="4AD73910"/>
    <w:rsid w:val="4AF33D06"/>
    <w:rsid w:val="4D5558B4"/>
    <w:rsid w:val="4D8B6B9D"/>
    <w:rsid w:val="4EF37070"/>
    <w:rsid w:val="51B52594"/>
    <w:rsid w:val="5206232F"/>
    <w:rsid w:val="52B018E5"/>
    <w:rsid w:val="52C735C9"/>
    <w:rsid w:val="53154F5B"/>
    <w:rsid w:val="535D1AC5"/>
    <w:rsid w:val="536E48F6"/>
    <w:rsid w:val="53DD36D8"/>
    <w:rsid w:val="53EF3783"/>
    <w:rsid w:val="54E91C64"/>
    <w:rsid w:val="54EE0658"/>
    <w:rsid w:val="54EF4047"/>
    <w:rsid w:val="550429A6"/>
    <w:rsid w:val="555B2034"/>
    <w:rsid w:val="55643776"/>
    <w:rsid w:val="562954F0"/>
    <w:rsid w:val="58FB30BE"/>
    <w:rsid w:val="59B60181"/>
    <w:rsid w:val="5A0C3D15"/>
    <w:rsid w:val="5C084E7C"/>
    <w:rsid w:val="5E3D4496"/>
    <w:rsid w:val="5EBF129B"/>
    <w:rsid w:val="60A878DC"/>
    <w:rsid w:val="60B82B42"/>
    <w:rsid w:val="61A968D3"/>
    <w:rsid w:val="62536A85"/>
    <w:rsid w:val="63AE1EC8"/>
    <w:rsid w:val="641B4FF7"/>
    <w:rsid w:val="649460BF"/>
    <w:rsid w:val="682A1477"/>
    <w:rsid w:val="68857BC5"/>
    <w:rsid w:val="68BE670A"/>
    <w:rsid w:val="68D4001D"/>
    <w:rsid w:val="691D346F"/>
    <w:rsid w:val="6A4662AD"/>
    <w:rsid w:val="6A7038C2"/>
    <w:rsid w:val="6AD246EE"/>
    <w:rsid w:val="6C9227DE"/>
    <w:rsid w:val="6F5F79E8"/>
    <w:rsid w:val="71BE777B"/>
    <w:rsid w:val="72B15531"/>
    <w:rsid w:val="73026583"/>
    <w:rsid w:val="75172DE6"/>
    <w:rsid w:val="75926377"/>
    <w:rsid w:val="7696248B"/>
    <w:rsid w:val="77AB20CE"/>
    <w:rsid w:val="78236589"/>
    <w:rsid w:val="79425628"/>
    <w:rsid w:val="79AD50B4"/>
    <w:rsid w:val="7ACF34CF"/>
    <w:rsid w:val="7B6E2211"/>
    <w:rsid w:val="7B910714"/>
    <w:rsid w:val="7D422132"/>
    <w:rsid w:val="7DC91981"/>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rPr>
      <w:rFonts w:ascii="宋体" w:hAnsi="Courier New"/>
    </w:rPr>
  </w:style>
  <w:style w:type="paragraph" w:styleId="6">
    <w:name w:val="annotation text"/>
    <w:basedOn w:val="1"/>
    <w:link w:val="30"/>
    <w:qFormat/>
    <w:uiPriority w:val="0"/>
    <w:pPr>
      <w:jc w:val="left"/>
    </w:pPr>
    <w:rPr>
      <w:rFonts w:ascii="Times New Roman" w:hAnsi="Times New Roman"/>
      <w:szCs w:val="20"/>
    </w:rPr>
  </w:style>
  <w:style w:type="paragraph" w:styleId="7">
    <w:name w:val="Body Text"/>
    <w:basedOn w:val="1"/>
    <w:link w:val="28"/>
    <w:qFormat/>
    <w:uiPriority w:val="0"/>
    <w:pPr>
      <w:spacing w:after="120"/>
    </w:pPr>
    <w:rPr>
      <w:rFonts w:ascii="Times New Roman" w:hAnsi="Times New Roman"/>
      <w:szCs w:val="20"/>
    </w:rPr>
  </w:style>
  <w:style w:type="paragraph" w:styleId="8">
    <w:name w:val="Body Text Indent"/>
    <w:basedOn w:val="1"/>
    <w:next w:val="9"/>
    <w:unhideWhenUsed/>
    <w:qFormat/>
    <w:uiPriority w:val="99"/>
    <w:pPr>
      <w:ind w:left="420" w:leftChars="200"/>
    </w:pPr>
  </w:style>
  <w:style w:type="paragraph" w:customStyle="1" w:styleId="9">
    <w:name w:val="样式 正文文本缩进 + 行距: 1.5 倍行距"/>
    <w:basedOn w:val="1"/>
    <w:qFormat/>
    <w:uiPriority w:val="0"/>
    <w:pPr>
      <w:spacing w:after="120" w:line="360" w:lineRule="auto"/>
      <w:ind w:left="90" w:leftChars="32" w:firstLine="560" w:firstLineChars="200"/>
    </w:pPr>
    <w:rPr>
      <w:rFonts w:cs="宋体"/>
    </w:rPr>
  </w:style>
  <w:style w:type="paragraph" w:styleId="10">
    <w:name w:val="Plain Text"/>
    <w:basedOn w:val="1"/>
    <w:next w:val="8"/>
    <w:qFormat/>
    <w:uiPriority w:val="0"/>
    <w:rPr>
      <w:rFonts w:ascii="宋体" w:hAnsi="Courier New" w:cs="Courier New"/>
      <w:szCs w:val="21"/>
    </w:rPr>
  </w:style>
  <w:style w:type="paragraph" w:styleId="11">
    <w:name w:val="Balloon Text"/>
    <w:basedOn w:val="1"/>
    <w:link w:val="24"/>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szCs w:val="21"/>
    </w:rPr>
  </w:style>
  <w:style w:type="paragraph" w:customStyle="1" w:styleId="21">
    <w:name w:val="li_正文"/>
    <w:basedOn w:val="1"/>
    <w:qFormat/>
    <w:uiPriority w:val="0"/>
    <w:pPr>
      <w:ind w:firstLine="200" w:firstLineChars="200"/>
      <w:jc w:val="left"/>
    </w:pPr>
    <w:rPr>
      <w:sz w:val="28"/>
      <w:szCs w:val="28"/>
    </w:rPr>
  </w:style>
  <w:style w:type="character" w:customStyle="1" w:styleId="22">
    <w:name w:val="页眉 Char"/>
    <w:basedOn w:val="19"/>
    <w:link w:val="13"/>
    <w:qFormat/>
    <w:uiPriority w:val="99"/>
    <w:rPr>
      <w:sz w:val="18"/>
      <w:szCs w:val="18"/>
    </w:rPr>
  </w:style>
  <w:style w:type="character" w:customStyle="1" w:styleId="23">
    <w:name w:val="页脚 Char"/>
    <w:basedOn w:val="19"/>
    <w:link w:val="12"/>
    <w:qFormat/>
    <w:uiPriority w:val="99"/>
    <w:rPr>
      <w:sz w:val="18"/>
      <w:szCs w:val="18"/>
    </w:rPr>
  </w:style>
  <w:style w:type="character" w:customStyle="1" w:styleId="24">
    <w:name w:val="批注框文本 Char"/>
    <w:basedOn w:val="19"/>
    <w:link w:val="11"/>
    <w:semiHidden/>
    <w:qFormat/>
    <w:uiPriority w:val="99"/>
    <w:rPr>
      <w:rFonts w:ascii="Calibri" w:hAnsi="Calibri" w:eastAsia="宋体" w:cs="Times New Roman"/>
      <w:kern w:val="2"/>
      <w:sz w:val="18"/>
      <w:szCs w:val="18"/>
    </w:rPr>
  </w:style>
  <w:style w:type="paragraph" w:customStyle="1" w:styleId="25">
    <w:name w:val="CM24"/>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6">
    <w:name w:val="List Paragraph"/>
    <w:basedOn w:val="1"/>
    <w:unhideWhenUsed/>
    <w:qFormat/>
    <w:uiPriority w:val="99"/>
    <w:pPr>
      <w:ind w:firstLine="420" w:firstLineChars="200"/>
    </w:pPr>
  </w:style>
  <w:style w:type="paragraph" w:customStyle="1" w:styleId="27">
    <w:name w:val="正1"/>
    <w:basedOn w:val="1"/>
    <w:link w:val="32"/>
    <w:qFormat/>
    <w:uiPriority w:val="0"/>
    <w:pPr>
      <w:spacing w:line="360" w:lineRule="auto"/>
      <w:ind w:firstLine="200" w:firstLineChars="200"/>
      <w:jc w:val="left"/>
    </w:pPr>
    <w:rPr>
      <w:rFonts w:eastAsia="楷体_GB2312"/>
      <w:sz w:val="24"/>
    </w:rPr>
  </w:style>
  <w:style w:type="character" w:customStyle="1" w:styleId="28">
    <w:name w:val="正文文本 Char"/>
    <w:basedOn w:val="19"/>
    <w:link w:val="7"/>
    <w:qFormat/>
    <w:uiPriority w:val="0"/>
    <w:rPr>
      <w:kern w:val="2"/>
      <w:sz w:val="21"/>
    </w:rPr>
  </w:style>
  <w:style w:type="paragraph" w:customStyle="1" w:styleId="29">
    <w:name w:val="Char Char Char Char Char Char Char Char Char Char"/>
    <w:basedOn w:val="1"/>
    <w:qFormat/>
    <w:uiPriority w:val="0"/>
    <w:pPr>
      <w:spacing w:line="240" w:lineRule="exact"/>
      <w:ind w:firstLine="200" w:firstLineChars="200"/>
    </w:pPr>
    <w:rPr>
      <w:rFonts w:ascii="宋体" w:hAnsi="宋体" w:cs="宋体"/>
      <w:sz w:val="24"/>
    </w:rPr>
  </w:style>
  <w:style w:type="character" w:customStyle="1" w:styleId="30">
    <w:name w:val="批注文字 Char"/>
    <w:basedOn w:val="19"/>
    <w:link w:val="6"/>
    <w:qFormat/>
    <w:uiPriority w:val="0"/>
    <w:rPr>
      <w:kern w:val="2"/>
      <w:sz w:val="21"/>
    </w:rPr>
  </w:style>
  <w:style w:type="paragraph" w:customStyle="1" w:styleId="31">
    <w:name w:val="ZW正文"/>
    <w:basedOn w:val="1"/>
    <w:qFormat/>
    <w:uiPriority w:val="0"/>
    <w:pPr>
      <w:spacing w:line="500" w:lineRule="exact"/>
      <w:ind w:firstLine="480" w:firstLineChars="200"/>
    </w:pPr>
    <w:rPr>
      <w:rFonts w:ascii="Times New Roman" w:hAnsi="Times New Roman"/>
      <w:sz w:val="24"/>
      <w:szCs w:val="20"/>
    </w:rPr>
  </w:style>
  <w:style w:type="character" w:customStyle="1" w:styleId="32">
    <w:name w:val="正1 Char"/>
    <w:link w:val="27"/>
    <w:qFormat/>
    <w:uiPriority w:val="0"/>
    <w:rPr>
      <w:rFonts w:ascii="Calibri" w:hAnsi="Calibri" w:eastAsia="楷体_GB2312"/>
      <w:kern w:val="2"/>
      <w:sz w:val="24"/>
      <w:szCs w:val="24"/>
    </w:rPr>
  </w:style>
  <w:style w:type="paragraph" w:customStyle="1" w:styleId="33">
    <w:name w:val="CM25"/>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4">
    <w:name w:val="列出段落1"/>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5">
    <w:name w:val="NormalCharacter"/>
    <w:semiHidden/>
    <w:qFormat/>
    <w:uiPriority w:val="0"/>
  </w:style>
  <w:style w:type="paragraph" w:customStyle="1" w:styleId="36">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7">
    <w:name w:val="样式1"/>
    <w:basedOn w:val="1"/>
    <w:qFormat/>
    <w:uiPriority w:val="0"/>
    <w:pPr>
      <w:adjustRightInd/>
      <w:snapToGrid/>
      <w:spacing w:after="0" w:line="360" w:lineRule="auto"/>
      <w:jc w:val="center"/>
    </w:pPr>
    <w:rPr>
      <w:rFonts w:ascii="仿宋_GB2312" w:hAnsi="Times New Roman" w:eastAsia="黑体" w:cs="Times New Roman"/>
      <w:b/>
      <w:kern w:val="2"/>
      <w:sz w:val="32"/>
      <w:szCs w:val="20"/>
    </w:rPr>
  </w:style>
  <w:style w:type="paragraph" w:customStyle="1" w:styleId="38">
    <w:name w:val="UserStyle_29"/>
    <w:basedOn w:val="1"/>
    <w:qFormat/>
    <w:uiPriority w:val="0"/>
    <w:pPr>
      <w:spacing w:line="500" w:lineRule="exact"/>
      <w:ind w:firstLine="48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2192</Words>
  <Characters>2253</Characters>
  <Lines>18</Lines>
  <Paragraphs>5</Paragraphs>
  <TotalTime>1</TotalTime>
  <ScaleCrop>false</ScaleCrop>
  <LinksUpToDate>false</LinksUpToDate>
  <CharactersWithSpaces>5727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只若初见</cp:lastModifiedBy>
  <cp:lastPrinted>2023-01-18T02:38:00Z</cp:lastPrinted>
  <dcterms:modified xsi:type="dcterms:W3CDTF">2023-11-22T10:36:30Z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C20BA16FA78C4714A15EC007FA4AE679_13</vt:lpwstr>
  </property>
</Properties>
</file>