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eastAsia="zh-CN"/>
        </w:rPr>
        <w:t>茌平信源环保建材有限公司（砌块厂）新型环保建材技改项目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茌平信源环保建材有限公司（砌块厂）位于山东省聊城市茌平区信发街道济邯铁路北，老105国道西（东经116°12′40.468″，北纬36°36′54.221″），项目在聊城市茌平区信发街道齐刘村（茌平信源环保建材有限公司院内），利用原有厂房</w:t>
      </w:r>
      <w:r>
        <w:rPr>
          <w:rFonts w:hint="default" w:ascii="Times New Roman" w:hAnsi="Times New Roman" w:cs="Times New Roman" w:eastAsiaTheme="minorEastAsia"/>
          <w:sz w:val="24"/>
          <w:szCs w:val="24"/>
          <w:lang w:val="en-US" w:eastAsia="zh-CN"/>
        </w:rPr>
        <w:t>1400</w:t>
      </w:r>
      <w:r>
        <w:rPr>
          <w:rFonts w:hint="eastAsia" w:ascii="Times New Roman" w:hAnsi="Times New Roman" w:cs="Times New Roman" w:eastAsiaTheme="minorEastAsia"/>
          <w:sz w:val="24"/>
          <w:szCs w:val="24"/>
          <w:lang w:val="en-US" w:eastAsia="zh-CN"/>
        </w:rPr>
        <w:t>平方米，在原有车间内完成，不新增占地及建筑物。项目总投资500万元，其中环保投资24万元，新购置设备包括球磨机、碎渣机、泵、搅拌器、渣仓各</w:t>
      </w:r>
      <w:r>
        <w:rPr>
          <w:rFonts w:hint="default" w:ascii="Times New Roman" w:hAnsi="Times New Roman" w:cs="Times New Roman" w:eastAsiaTheme="minorEastAsia"/>
          <w:sz w:val="24"/>
          <w:szCs w:val="24"/>
          <w:lang w:val="en-US" w:eastAsia="zh-CN"/>
        </w:rPr>
        <w:t>2</w:t>
      </w:r>
      <w:r>
        <w:rPr>
          <w:rFonts w:hint="eastAsia" w:ascii="Times New Roman" w:hAnsi="Times New Roman" w:cs="Times New Roman" w:eastAsiaTheme="minorEastAsia"/>
          <w:sz w:val="24"/>
          <w:szCs w:val="24"/>
          <w:lang w:val="en-US" w:eastAsia="zh-CN"/>
        </w:rPr>
        <w:t>台，收尘器</w:t>
      </w:r>
      <w:r>
        <w:rPr>
          <w:rFonts w:hint="default" w:ascii="Times New Roman" w:hAnsi="Times New Roman" w:cs="Times New Roman" w:eastAsiaTheme="minorEastAsia"/>
          <w:sz w:val="24"/>
          <w:szCs w:val="24"/>
          <w:lang w:val="en-US" w:eastAsia="zh-CN"/>
        </w:rPr>
        <w:t>3</w:t>
      </w:r>
      <w:r>
        <w:rPr>
          <w:rFonts w:hint="eastAsia" w:ascii="Times New Roman" w:hAnsi="Times New Roman" w:cs="Times New Roman" w:eastAsiaTheme="minorEastAsia"/>
          <w:sz w:val="24"/>
          <w:szCs w:val="24"/>
          <w:lang w:val="en-US" w:eastAsia="zh-CN"/>
        </w:rPr>
        <w:t>台，给料皮带</w:t>
      </w:r>
      <w:r>
        <w:rPr>
          <w:rFonts w:hint="default" w:ascii="Times New Roman" w:hAnsi="Times New Roman" w:cs="Times New Roman" w:eastAsiaTheme="minorEastAsia"/>
          <w:sz w:val="24"/>
          <w:szCs w:val="24"/>
          <w:lang w:val="en-US" w:eastAsia="zh-CN"/>
        </w:rPr>
        <w:t>4</w:t>
      </w:r>
      <w:r>
        <w:rPr>
          <w:rFonts w:hint="eastAsia" w:ascii="Times New Roman" w:hAnsi="Times New Roman" w:cs="Times New Roman" w:eastAsiaTheme="minorEastAsia"/>
          <w:sz w:val="24"/>
          <w:szCs w:val="24"/>
          <w:lang w:val="en-US" w:eastAsia="zh-CN"/>
        </w:rPr>
        <w:t>套，共计</w:t>
      </w:r>
      <w:r>
        <w:rPr>
          <w:rFonts w:hint="default" w:ascii="Times New Roman" w:hAnsi="Times New Roman" w:cs="Times New Roman" w:eastAsiaTheme="minorEastAsia"/>
          <w:sz w:val="24"/>
          <w:szCs w:val="24"/>
          <w:lang w:val="en-US" w:eastAsia="zh-CN"/>
        </w:rPr>
        <w:t>17</w:t>
      </w:r>
      <w:r>
        <w:rPr>
          <w:rFonts w:hint="eastAsia" w:ascii="Times New Roman" w:hAnsi="Times New Roman" w:cs="Times New Roman" w:eastAsiaTheme="minorEastAsia"/>
          <w:sz w:val="24"/>
          <w:szCs w:val="24"/>
          <w:lang w:val="en-US" w:eastAsia="zh-CN"/>
        </w:rPr>
        <w:t>台（套）。将</w:t>
      </w:r>
      <w:r>
        <w:rPr>
          <w:rFonts w:hint="default" w:ascii="Times New Roman" w:hAnsi="Times New Roman" w:cs="Times New Roman" w:eastAsiaTheme="minorEastAsia"/>
          <w:sz w:val="24"/>
          <w:szCs w:val="24"/>
          <w:lang w:val="en-US" w:eastAsia="zh-CN"/>
        </w:rPr>
        <w:t>2</w:t>
      </w:r>
      <w:r>
        <w:rPr>
          <w:rFonts w:hint="eastAsia" w:ascii="Times New Roman" w:hAnsi="Times New Roman" w:cs="Times New Roman" w:eastAsiaTheme="minorEastAsia"/>
          <w:sz w:val="24"/>
          <w:szCs w:val="24"/>
          <w:lang w:val="en-US" w:eastAsia="zh-CN"/>
        </w:rPr>
        <w:t>条砌块生产线原材料</w:t>
      </w:r>
      <w:r>
        <w:rPr>
          <w:rFonts w:hint="default" w:ascii="Times New Roman" w:hAnsi="Times New Roman" w:cs="Times New Roman" w:eastAsiaTheme="minorEastAsia"/>
          <w:sz w:val="24"/>
          <w:szCs w:val="24"/>
          <w:lang w:val="en-US" w:eastAsia="zh-CN"/>
        </w:rPr>
        <w:t>70</w:t>
      </w:r>
      <w:r>
        <w:rPr>
          <w:rFonts w:hint="eastAsia" w:ascii="Times New Roman" w:hAnsi="Times New Roman" w:cs="Times New Roman" w:eastAsiaTheme="minorEastAsia"/>
          <w:sz w:val="24"/>
          <w:szCs w:val="24"/>
          <w:lang w:val="en-US" w:eastAsia="zh-CN"/>
        </w:rPr>
        <w:t>万吨粉煤灰中</w:t>
      </w:r>
      <w:r>
        <w:rPr>
          <w:rFonts w:hint="default" w:ascii="Times New Roman" w:hAnsi="Times New Roman" w:cs="Times New Roman" w:eastAsiaTheme="minorEastAsia"/>
          <w:sz w:val="24"/>
          <w:szCs w:val="24"/>
          <w:lang w:val="en-US" w:eastAsia="zh-CN"/>
        </w:rPr>
        <w:t>50</w:t>
      </w:r>
      <w:r>
        <w:rPr>
          <w:rFonts w:hint="eastAsia" w:ascii="Times New Roman" w:hAnsi="Times New Roman" w:cs="Times New Roman" w:eastAsiaTheme="minorEastAsia"/>
          <w:sz w:val="24"/>
          <w:szCs w:val="24"/>
          <w:lang w:val="en-US" w:eastAsia="zh-CN"/>
        </w:rPr>
        <w:t>万吨替代为</w:t>
      </w:r>
      <w:r>
        <w:rPr>
          <w:rFonts w:hint="default" w:ascii="Times New Roman" w:hAnsi="Times New Roman" w:cs="Times New Roman" w:eastAsiaTheme="minorEastAsia"/>
          <w:sz w:val="24"/>
          <w:szCs w:val="24"/>
          <w:lang w:val="en-US" w:eastAsia="zh-CN"/>
        </w:rPr>
        <w:t>50</w:t>
      </w:r>
      <w:r>
        <w:rPr>
          <w:rFonts w:hint="eastAsia" w:ascii="Times New Roman" w:hAnsi="Times New Roman" w:cs="Times New Roman" w:eastAsiaTheme="minorEastAsia"/>
          <w:sz w:val="24"/>
          <w:szCs w:val="24"/>
          <w:lang w:val="en-US" w:eastAsia="zh-CN"/>
        </w:rPr>
        <w:t>万吨炉渣进行生产。项目经技术改造后，在原有工艺基础上，新增炉渣加工工序，将电厂产生的炉渣经研磨制浆后作为配料来生产砌块，年可综合利用炉渣</w:t>
      </w:r>
      <w:r>
        <w:rPr>
          <w:rFonts w:hint="default" w:ascii="Times New Roman" w:hAnsi="Times New Roman" w:cs="Times New Roman" w:eastAsiaTheme="minorEastAsia"/>
          <w:sz w:val="24"/>
          <w:szCs w:val="24"/>
          <w:lang w:val="en-US" w:eastAsia="zh-CN"/>
        </w:rPr>
        <w:t>50</w:t>
      </w:r>
      <w:r>
        <w:rPr>
          <w:rFonts w:hint="eastAsia" w:ascii="Times New Roman" w:hAnsi="Times New Roman" w:cs="Times New Roman" w:eastAsiaTheme="minorEastAsia"/>
          <w:sz w:val="24"/>
          <w:szCs w:val="24"/>
          <w:lang w:val="en-US" w:eastAsia="zh-CN"/>
        </w:rPr>
        <w:t>万吨。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2022年6月25日，茌平信源环保建材有限公司（砌块厂）委托山东民通环境安全科技有限公司编制《茌平信源环保建材有限公司新型环保建材技改项目环境影响报告表》，2022年12月30日聊城市茌平区行政审批服务局以聊茌行审环管〔2022〕78号文对该项目进行了批复。项目现已建成并达到年综合利用炉渣</w:t>
      </w:r>
      <w:r>
        <w:rPr>
          <w:rFonts w:hint="default" w:ascii="Times New Roman" w:hAnsi="Times New Roman" w:cs="Times New Roman" w:eastAsiaTheme="minorEastAsia"/>
          <w:sz w:val="24"/>
          <w:szCs w:val="24"/>
          <w:lang w:val="en-US" w:eastAsia="zh-CN"/>
        </w:rPr>
        <w:t>50</w:t>
      </w:r>
      <w:r>
        <w:rPr>
          <w:rFonts w:hint="eastAsia" w:ascii="Times New Roman" w:hAnsi="Times New Roman" w:cs="Times New Roman" w:eastAsiaTheme="minorEastAsia"/>
          <w:sz w:val="24"/>
          <w:szCs w:val="24"/>
          <w:lang w:val="en-US" w:eastAsia="zh-CN"/>
        </w:rPr>
        <w:t>万吨的规模。于2023年02月启动验收前工作，</w:t>
      </w:r>
      <w:r>
        <w:rPr>
          <w:rFonts w:hint="default" w:ascii="Times New Roman" w:hAnsi="Times New Roman" w:cs="Times New Roman" w:eastAsiaTheme="minorEastAsia"/>
          <w:sz w:val="24"/>
          <w:szCs w:val="24"/>
          <w:lang w:val="en-US" w:eastAsia="zh-CN"/>
        </w:rPr>
        <w:t>聊城欧高环境检测中心于202</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02</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17</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02</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18</w:t>
      </w:r>
      <w:r>
        <w:rPr>
          <w:rFonts w:hint="default" w:ascii="Times New Roman" w:hAnsi="Times New Roman" w:cs="Times New Roman" w:eastAsiaTheme="minorEastAsia"/>
          <w:sz w:val="24"/>
          <w:szCs w:val="24"/>
          <w:lang w:val="en-US" w:eastAsia="zh-CN"/>
        </w:rPr>
        <w:t>日对该项目污染物排放情况和各类环保治理措施的处理能力进行了现场监测</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根据监测结果和现场环境检查情况，在此基础上</w:t>
      </w:r>
      <w:r>
        <w:rPr>
          <w:rFonts w:hint="eastAsia" w:ascii="Times New Roman" w:hAnsi="Times New Roman" w:cs="Times New Roman" w:eastAsiaTheme="minorEastAsia"/>
          <w:sz w:val="24"/>
          <w:szCs w:val="24"/>
          <w:lang w:val="en-US" w:eastAsia="zh-CN"/>
        </w:rPr>
        <w:t>编制</w:t>
      </w:r>
      <w:r>
        <w:rPr>
          <w:rFonts w:hint="default" w:ascii="Times New Roman" w:hAnsi="Times New Roman" w:cs="Times New Roman" w:eastAsiaTheme="minorEastAsia"/>
          <w:sz w:val="24"/>
          <w:szCs w:val="24"/>
          <w:lang w:val="en-US" w:eastAsia="zh-CN"/>
        </w:rPr>
        <w:t>完成了</w:t>
      </w:r>
      <w:r>
        <w:rPr>
          <w:rFonts w:hint="eastAsia" w:ascii="Times New Roman" w:hAnsi="Times New Roman" w:cs="Times New Roman" w:eastAsiaTheme="minorEastAsia"/>
          <w:sz w:val="24"/>
          <w:szCs w:val="24"/>
          <w:lang w:val="en-US" w:eastAsia="zh-CN"/>
        </w:rPr>
        <w:t>《茌平信源环保建材有限公司（砌块厂）新型环保建材技改项目</w:t>
      </w:r>
      <w:r>
        <w:rPr>
          <w:rFonts w:hint="default" w:ascii="Times New Roman" w:hAnsi="Times New Roman" w:cs="Times New Roman" w:eastAsiaTheme="minorEastAsia"/>
          <w:sz w:val="24"/>
          <w:szCs w:val="24"/>
          <w:lang w:val="en-US" w:eastAsia="zh-CN"/>
        </w:rPr>
        <w:t>竣工环境保护验收监测报告表</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茌平信源环保建材有限公司（砌块厂）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val="en-US" w:eastAsia="zh-CN"/>
        </w:rPr>
        <w:t>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1</w:t>
      </w:r>
      <w:r>
        <w:rPr>
          <w:rFonts w:hint="eastAsia" w:ascii="Times New Roman" w:hAnsi="Times New Roman" w:cs="Times New Roman" w:eastAsiaTheme="minorEastAsia"/>
          <w:sz w:val="24"/>
          <w:szCs w:val="24"/>
          <w:lang w:val="en-US" w:eastAsia="zh-CN"/>
        </w:rPr>
        <w:t xml:space="preserve">）泄漏风险的管理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小量泄漏：泄漏在金属托盘内，逸出部分用砂土、蛭石或其它惰性材料吸收。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大量泄漏：项目油类物质有单独包装，不涉及大量泄漏，一旦发生泄漏，导入备用桶。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2</w:t>
      </w:r>
      <w:r>
        <w:rPr>
          <w:rFonts w:hint="eastAsia" w:ascii="Times New Roman" w:hAnsi="Times New Roman" w:cs="Times New Roman" w:eastAsiaTheme="minorEastAsia"/>
          <w:sz w:val="24"/>
          <w:szCs w:val="24"/>
          <w:lang w:val="en-US" w:eastAsia="zh-CN"/>
        </w:rPr>
        <w:t xml:space="preserve">）火灾风险的管理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① 预防措施：经常检查，及时处理。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② 应急处理：迅速撤离火灾污染区人员至上风处，并立即进行隔离，小泄漏时隔离</w:t>
      </w:r>
      <w:r>
        <w:rPr>
          <w:rFonts w:hint="default" w:ascii="Times New Roman" w:hAnsi="Times New Roman" w:cs="Times New Roman" w:eastAsiaTheme="minorEastAsia"/>
          <w:sz w:val="24"/>
          <w:szCs w:val="24"/>
          <w:lang w:val="en-US" w:eastAsia="zh-CN"/>
        </w:rPr>
        <w:t>50</w:t>
      </w:r>
      <w:r>
        <w:rPr>
          <w:rFonts w:hint="eastAsia" w:ascii="Times New Roman" w:hAnsi="Times New Roman" w:cs="Times New Roman" w:eastAsiaTheme="minorEastAsia"/>
          <w:sz w:val="24"/>
          <w:szCs w:val="24"/>
          <w:lang w:val="en-US" w:eastAsia="zh-CN"/>
        </w:rPr>
        <w:t>米，大泄漏时隔离</w:t>
      </w:r>
      <w:r>
        <w:rPr>
          <w:rFonts w:hint="default" w:ascii="Times New Roman" w:hAnsi="Times New Roman" w:cs="Times New Roman" w:eastAsiaTheme="minorEastAsia"/>
          <w:sz w:val="24"/>
          <w:szCs w:val="24"/>
          <w:lang w:val="en-US" w:eastAsia="zh-CN"/>
        </w:rPr>
        <w:t>150</w:t>
      </w:r>
      <w:r>
        <w:rPr>
          <w:rFonts w:hint="eastAsia" w:ascii="Times New Roman" w:hAnsi="Times New Roman" w:cs="Times New Roman" w:eastAsiaTheme="minorEastAsia"/>
          <w:sz w:val="24"/>
          <w:szCs w:val="24"/>
          <w:lang w:val="en-US" w:eastAsia="zh-CN"/>
        </w:rPr>
        <w:t xml:space="preserve">米，严格限制出入。应急处理人员戴自给正压式呼吸器，穿防毒服。尽可能切断、封堵泄漏源。合理通风，加速扩散。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③ 防护措施：空气中浓度超标时，佩戴空气呼吸器或氧气呼吸器。紧急事态抢救或撤离时，必须佩戴氧气呼吸器。工作现场禁止吸烟、进食和饮水。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④ 急救措施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急救方法：当人体吸入有毒气体引起中毒，须迅速脱离现场至空气新鲜处；情节严重的要立即就医。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灭火方法：消防人员必须佩戴过滤式防毒面具（全面罩）或隔离式呼吸器、穿全身防火防毒服，用灭火器紧急处理，及时报告，根据情况向厂内应急中心求救或拨打 </w:t>
      </w:r>
      <w:r>
        <w:rPr>
          <w:rFonts w:hint="default" w:ascii="Times New Roman" w:hAnsi="Times New Roman" w:cs="Times New Roman" w:eastAsiaTheme="minorEastAsia"/>
          <w:sz w:val="24"/>
          <w:szCs w:val="24"/>
          <w:lang w:val="en-US" w:eastAsia="zh-CN"/>
        </w:rPr>
        <w:t>119</w:t>
      </w:r>
      <w:r>
        <w:rPr>
          <w:rFonts w:hint="eastAsia" w:ascii="Times New Roman" w:hAnsi="Times New Roman" w:cs="Times New Roman" w:eastAsia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3</w:t>
      </w:r>
      <w:r>
        <w:rPr>
          <w:rFonts w:hint="eastAsia" w:ascii="Times New Roman" w:hAnsi="Times New Roman" w:cs="Times New Roman" w:eastAsiaTheme="minorEastAsia"/>
          <w:sz w:val="24"/>
          <w:szCs w:val="24"/>
          <w:lang w:val="en-US" w:eastAsia="zh-CN"/>
        </w:rPr>
        <w:t xml:space="preserve">）应急处置措施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事故处置的核心是及时报警，正确决策，迅速扑救。为采取有效行动，应有充分的处置措施，针对工程可能发生的风险事故，制定全厂风险事故应急预案，宣贯到全体员工，并进行必要的演练，以保证应急预案有效可行，在风险事故发生时，能够及时采取有效措施将损失减至最小。通过上述措施，可以保证在风险、事故状态下对周围的环境质量影响较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环境监测计划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依据《排污许可证申请与核发技术规范 陶瓷砖瓦工业》（</w:t>
      </w:r>
      <w:r>
        <w:rPr>
          <w:rFonts w:hint="default" w:ascii="Times New Roman" w:hAnsi="Times New Roman" w:cs="Times New Roman" w:eastAsiaTheme="minorEastAsia"/>
          <w:sz w:val="24"/>
          <w:szCs w:val="24"/>
          <w:lang w:val="en-US" w:eastAsia="zh-CN"/>
        </w:rPr>
        <w:t>HJ</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954-2018</w:t>
      </w:r>
      <w:r>
        <w:rPr>
          <w:rFonts w:hint="eastAsia" w:ascii="Times New Roman" w:hAnsi="Times New Roman" w:cs="Times New Roman" w:eastAsiaTheme="minorEastAsia"/>
          <w:sz w:val="24"/>
          <w:szCs w:val="24"/>
          <w:lang w:val="en-US" w:eastAsia="zh-CN"/>
        </w:rPr>
        <w:t>）自行监测要求，本项目自行监测计划见下表：</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pPr>
      <w:r>
        <w:rPr>
          <w:rFonts w:hint="eastAsia" w:ascii="宋体" w:hAnsi="宋体" w:eastAsia="宋体" w:cs="宋体"/>
          <w:b/>
          <w:bCs/>
          <w:color w:val="000000"/>
          <w:kern w:val="0"/>
          <w:sz w:val="24"/>
          <w:szCs w:val="24"/>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712"/>
        <w:gridCol w:w="2171"/>
        <w:gridCol w:w="21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1712"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排气筒</w:t>
            </w:r>
            <w:r>
              <w:rPr>
                <w:rStyle w:val="35"/>
                <w:rFonts w:hint="eastAsia" w:ascii="Times New Roman" w:hAnsi="Times New Roman" w:eastAsia="宋体" w:cs="Times New Roman"/>
                <w:sz w:val="24"/>
                <w:lang w:val="en-US" w:eastAsia="zh-CN"/>
              </w:rPr>
              <w:t>DA0</w:t>
            </w:r>
            <w:r>
              <w:rPr>
                <w:rStyle w:val="35"/>
                <w:rFonts w:hint="eastAsia" w:ascii="Times New Roman" w:hAnsi="Times New Roman" w:cs="Times New Roman"/>
                <w:sz w:val="24"/>
                <w:lang w:val="en-US" w:eastAsia="zh-CN"/>
              </w:rPr>
              <w:t>12</w:t>
            </w: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氨</w:t>
            </w:r>
          </w:p>
        </w:tc>
        <w:tc>
          <w:tcPr>
            <w:tcW w:w="21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c>
          <w:tcPr>
            <w:tcW w:w="21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default" w:ascii="Times New Roman" w:hAnsi="Times New Roman" w:eastAsia="宋体" w:cs="Times New Roman"/>
                <w:sz w:val="24"/>
                <w:lang w:val="en-US" w:eastAsia="zh-CN"/>
              </w:rPr>
              <w:t>LeqdB</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A</w:t>
            </w:r>
            <w:r>
              <w:rPr>
                <w:rStyle w:val="35"/>
                <w:rFonts w:hint="eastAsia" w:ascii="Times New Roman" w:hAnsi="Times New Roman" w:eastAsia="宋体" w:cs="Times New Roman"/>
                <w:sz w:val="24"/>
                <w:lang w:val="en-US" w:eastAsia="zh-CN"/>
              </w:rPr>
              <w:t>）</w:t>
            </w:r>
          </w:p>
        </w:tc>
        <w:tc>
          <w:tcPr>
            <w:tcW w:w="21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default" w:ascii="Times New Roman" w:hAnsi="Times New Roman" w:eastAsia="宋体" w:cs="Times New Roman"/>
                <w:sz w:val="24"/>
                <w:lang w:val="en-US" w:eastAsia="zh-CN"/>
              </w:rPr>
              <w:t>每季度一次，</w:t>
            </w:r>
            <w:r>
              <w:rPr>
                <w:rStyle w:val="35"/>
                <w:rFonts w:hint="eastAsia" w:ascii="Times New Roman" w:hAnsi="Times New Roman" w:eastAsia="宋体" w:cs="Times New Roman"/>
                <w:sz w:val="24"/>
                <w:lang w:val="en-US" w:eastAsia="zh-CN"/>
              </w:rPr>
              <w:t>每次一天，</w:t>
            </w:r>
            <w:r>
              <w:rPr>
                <w:rStyle w:val="35"/>
                <w:rFonts w:hint="default" w:ascii="Times New Roman" w:hAnsi="Times New Roman" w:eastAsia="宋体" w:cs="Times New Roman"/>
                <w:sz w:val="24"/>
                <w:lang w:val="en-US" w:eastAsia="zh-CN"/>
              </w:rPr>
              <w:t>昼</w:t>
            </w:r>
            <w:r>
              <w:rPr>
                <w:rStyle w:val="35"/>
                <w:rFonts w:hint="eastAsia" w:ascii="Times New Roman" w:hAnsi="Times New Roman" w:eastAsia="宋体" w:cs="Times New Roman"/>
                <w:sz w:val="24"/>
                <w:lang w:val="en-US" w:eastAsia="zh-CN"/>
              </w:rPr>
              <w:t>夜</w:t>
            </w:r>
            <w:r>
              <w:rPr>
                <w:rStyle w:val="35"/>
                <w:rFonts w:hint="default" w:ascii="Times New Roman" w:hAnsi="Times New Roman" w:eastAsia="宋体" w:cs="Times New Roman"/>
                <w:sz w:val="24"/>
                <w:lang w:val="en-US" w:eastAsia="zh-CN"/>
              </w:rPr>
              <w:t>监测</w:t>
            </w:r>
          </w:p>
        </w:tc>
        <w:tc>
          <w:tcPr>
            <w:tcW w:w="21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项目运营过程中，严格执行排污许可排放标准，一般工业固废严格按照《一般工业固体废物贮存和填埋污染控制标准》（GB 18599-2020）要求执行；危险废物严格按照《危险废物贮存污染控制标准》（GB</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18597-2001）及修改单要求，对产生的危险废物进行贮存和管理，并委托有资质的单位及时进行转移处置。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bookmarkStart w:id="0" w:name="_GoBack"/>
      <w:bookmarkEnd w:id="0"/>
      <w:r>
        <w:rPr>
          <w:rFonts w:hint="eastAsia" w:ascii="Times New Roman" w:hAnsi="Times New Roman" w:cs="Times New Roman" w:eastAsiaTheme="minorEastAsia"/>
          <w:sz w:val="24"/>
          <w:szCs w:val="24"/>
          <w:u w:val="single"/>
          <w:lang w:val="en-US" w:eastAsia="zh-CN"/>
        </w:rPr>
        <w:t>整改/修改情况：</w:t>
      </w:r>
      <w:r>
        <w:rPr>
          <w:rFonts w:hint="default" w:ascii="Times New Roman" w:hAnsi="Times New Roman" w:cs="Times New Roman" w:eastAsiaTheme="minorEastAsia"/>
          <w:sz w:val="24"/>
          <w:szCs w:val="24"/>
          <w:u w:val="single"/>
          <w:lang w:val="en-US" w:eastAsia="zh-CN"/>
        </w:rPr>
        <w:t>项目运营过程中，</w:t>
      </w:r>
      <w:r>
        <w:rPr>
          <w:rFonts w:hint="eastAsia" w:ascii="Times New Roman" w:hAnsi="Times New Roman" w:cs="Times New Roman" w:eastAsiaTheme="minorEastAsia"/>
          <w:sz w:val="24"/>
          <w:szCs w:val="24"/>
          <w:u w:val="single"/>
          <w:lang w:val="en-US" w:eastAsia="zh-CN"/>
        </w:rPr>
        <w:t>已</w:t>
      </w:r>
      <w:r>
        <w:rPr>
          <w:rFonts w:hint="default" w:ascii="Times New Roman" w:hAnsi="Times New Roman" w:cs="Times New Roman" w:eastAsiaTheme="minorEastAsia"/>
          <w:sz w:val="24"/>
          <w:szCs w:val="24"/>
          <w:u w:val="single"/>
          <w:lang w:val="en-US" w:eastAsia="zh-CN"/>
        </w:rPr>
        <w:t>严格执行排污许可排放标准</w:t>
      </w:r>
      <w:r>
        <w:rPr>
          <w:rFonts w:hint="eastAsia" w:ascii="Times New Roman" w:hAnsi="Times New Roman" w:cs="Times New Roman" w:eastAsiaTheme="minorEastAsia"/>
          <w:sz w:val="24"/>
          <w:szCs w:val="24"/>
          <w:u w:val="single"/>
          <w:lang w:val="en-US" w:eastAsia="zh-CN"/>
        </w:rPr>
        <w:t>，根据</w:t>
      </w:r>
      <w:r>
        <w:rPr>
          <w:rFonts w:hint="default" w:ascii="Times New Roman" w:hAnsi="Times New Roman" w:cs="Times New Roman" w:eastAsiaTheme="minorEastAsia"/>
          <w:sz w:val="24"/>
          <w:szCs w:val="24"/>
          <w:u w:val="single"/>
          <w:lang w:val="en-US" w:eastAsia="zh-CN"/>
        </w:rPr>
        <w:t>《一般工业固体废物贮存和填埋污染控制标准》（GB 18599-2020）</w:t>
      </w:r>
      <w:r>
        <w:rPr>
          <w:rFonts w:hint="eastAsia" w:ascii="Times New Roman" w:hAnsi="Times New Roman" w:cs="Times New Roman" w:eastAsiaTheme="minorEastAsia"/>
          <w:sz w:val="24"/>
          <w:szCs w:val="24"/>
          <w:u w:val="single"/>
          <w:lang w:val="en-US" w:eastAsia="zh-CN"/>
        </w:rPr>
        <w:t>和</w:t>
      </w:r>
      <w:r>
        <w:rPr>
          <w:rFonts w:hint="default" w:ascii="Times New Roman" w:hAnsi="Times New Roman" w:cs="Times New Roman" w:eastAsiaTheme="minorEastAsia"/>
          <w:sz w:val="24"/>
          <w:szCs w:val="24"/>
          <w:u w:val="single"/>
          <w:lang w:val="en-US" w:eastAsia="zh-CN"/>
        </w:rPr>
        <w:t>《危险废物贮存污染控制标准》（GB</w:t>
      </w:r>
      <w:r>
        <w:rPr>
          <w:rFonts w:hint="eastAsia"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lang w:val="en-US" w:eastAsia="zh-CN"/>
        </w:rPr>
        <w:t>18597-2001）及修改单</w:t>
      </w:r>
      <w:r>
        <w:rPr>
          <w:rFonts w:hint="eastAsia" w:ascii="Times New Roman" w:hAnsi="Times New Roman" w:cs="Times New Roman" w:eastAsiaTheme="minorEastAsia"/>
          <w:sz w:val="24"/>
          <w:szCs w:val="24"/>
          <w:u w:val="single"/>
          <w:lang w:val="en-US" w:eastAsia="zh-CN"/>
        </w:rPr>
        <w:t>中的相关要求，已安排相关人员加强固体废物（</w:t>
      </w:r>
      <w:r>
        <w:rPr>
          <w:rFonts w:hint="default" w:ascii="Times New Roman" w:hAnsi="Times New Roman" w:cs="Times New Roman" w:eastAsiaTheme="minorEastAsia"/>
          <w:sz w:val="24"/>
          <w:szCs w:val="24"/>
          <w:u w:val="single"/>
          <w:lang w:val="en-US" w:eastAsia="zh-CN"/>
        </w:rPr>
        <w:t>一般工业固废</w:t>
      </w:r>
      <w:r>
        <w:rPr>
          <w:rFonts w:hint="eastAsia" w:ascii="Times New Roman" w:hAnsi="Times New Roman" w:cs="Times New Roman" w:eastAsiaTheme="minorEastAsia"/>
          <w:sz w:val="24"/>
          <w:szCs w:val="24"/>
          <w:u w:val="single"/>
          <w:lang w:val="en-US" w:eastAsia="zh-CN"/>
        </w:rPr>
        <w:t>和</w:t>
      </w:r>
      <w:r>
        <w:rPr>
          <w:rFonts w:hint="default" w:ascii="Times New Roman" w:hAnsi="Times New Roman" w:cs="Times New Roman" w:eastAsiaTheme="minorEastAsia"/>
          <w:sz w:val="24"/>
          <w:szCs w:val="24"/>
          <w:u w:val="single"/>
          <w:lang w:val="en-US" w:eastAsia="zh-CN"/>
        </w:rPr>
        <w:t>危险废物</w:t>
      </w:r>
      <w:r>
        <w:rPr>
          <w:rFonts w:hint="eastAsia" w:ascii="Times New Roman" w:hAnsi="Times New Roman" w:cs="Times New Roman" w:eastAsiaTheme="minorEastAsia"/>
          <w:sz w:val="24"/>
          <w:szCs w:val="24"/>
          <w:u w:val="single"/>
          <w:lang w:val="en-US" w:eastAsia="zh-CN"/>
        </w:rPr>
        <w:t>）的贮存和管理，</w:t>
      </w:r>
      <w:r>
        <w:rPr>
          <w:rFonts w:hint="default" w:ascii="Times New Roman" w:hAnsi="Times New Roman" w:cs="Times New Roman" w:eastAsiaTheme="minorEastAsia"/>
          <w:sz w:val="24"/>
          <w:szCs w:val="24"/>
          <w:u w:val="single"/>
          <w:lang w:val="en-US" w:eastAsia="zh-CN"/>
        </w:rPr>
        <w:t>并委托有资质的单位及时进行转移处置</w:t>
      </w:r>
      <w:r>
        <w:rPr>
          <w:rFonts w:hint="eastAsia" w:ascii="Times New Roman" w:hAnsi="Times New Roman" w:cs="Times New Roman" w:eastAsiaTheme="minorEastAsia"/>
          <w:sz w:val="24"/>
          <w:szCs w:val="24"/>
          <w:u w:val="single"/>
          <w:lang w:val="en-US" w:eastAsia="zh-CN"/>
        </w:rPr>
        <w:t>。</w:t>
      </w:r>
    </w:p>
    <w:p>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8981135"/>
    <w:rsid w:val="0ADB5E7A"/>
    <w:rsid w:val="0B472137"/>
    <w:rsid w:val="0C8223EB"/>
    <w:rsid w:val="0D0001DD"/>
    <w:rsid w:val="140B7F29"/>
    <w:rsid w:val="16154F53"/>
    <w:rsid w:val="17B71A49"/>
    <w:rsid w:val="182F2017"/>
    <w:rsid w:val="19A12421"/>
    <w:rsid w:val="1AAE2376"/>
    <w:rsid w:val="1B1851B0"/>
    <w:rsid w:val="1F7E33E3"/>
    <w:rsid w:val="20C33720"/>
    <w:rsid w:val="218C6A2F"/>
    <w:rsid w:val="22B36145"/>
    <w:rsid w:val="24657C98"/>
    <w:rsid w:val="24C100AF"/>
    <w:rsid w:val="26F95E73"/>
    <w:rsid w:val="270B5883"/>
    <w:rsid w:val="288C09DE"/>
    <w:rsid w:val="2ABB7EB6"/>
    <w:rsid w:val="2F1728B1"/>
    <w:rsid w:val="30674F5B"/>
    <w:rsid w:val="35475771"/>
    <w:rsid w:val="3BD50FCD"/>
    <w:rsid w:val="42A64878"/>
    <w:rsid w:val="446F2B9F"/>
    <w:rsid w:val="44756DC2"/>
    <w:rsid w:val="44CD1674"/>
    <w:rsid w:val="452C453B"/>
    <w:rsid w:val="4D5558B4"/>
    <w:rsid w:val="4D6E36BB"/>
    <w:rsid w:val="4EF37070"/>
    <w:rsid w:val="52B018E5"/>
    <w:rsid w:val="536E48F6"/>
    <w:rsid w:val="53DD36D8"/>
    <w:rsid w:val="54E91C64"/>
    <w:rsid w:val="54EE0658"/>
    <w:rsid w:val="550429A6"/>
    <w:rsid w:val="562954F0"/>
    <w:rsid w:val="5A0C3D15"/>
    <w:rsid w:val="5C084E7C"/>
    <w:rsid w:val="60A878DC"/>
    <w:rsid w:val="60B82B42"/>
    <w:rsid w:val="62536A85"/>
    <w:rsid w:val="63AE1EC8"/>
    <w:rsid w:val="641B4FF7"/>
    <w:rsid w:val="649460BF"/>
    <w:rsid w:val="68D4001D"/>
    <w:rsid w:val="6A4662AD"/>
    <w:rsid w:val="6A7038C2"/>
    <w:rsid w:val="6C9227DE"/>
    <w:rsid w:val="6F5F79E8"/>
    <w:rsid w:val="71BE777B"/>
    <w:rsid w:val="75926377"/>
    <w:rsid w:val="7696248B"/>
    <w:rsid w:val="79425628"/>
    <w:rsid w:val="7ACF34CF"/>
    <w:rsid w:val="7B910714"/>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qFormat/>
    <w:uiPriority w:val="0"/>
    <w:rPr>
      <w:rFonts w:ascii="宋体" w:hAnsi="Courier New"/>
    </w:rPr>
  </w:style>
  <w:style w:type="paragraph" w:styleId="6">
    <w:name w:val="annotation text"/>
    <w:basedOn w:val="1"/>
    <w:link w:val="30"/>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unhideWhenUsed/>
    <w:qFormat/>
    <w:uiPriority w:val="99"/>
    <w:pPr>
      <w:ind w:left="420" w:leftChars="200"/>
    </w:pPr>
  </w:style>
  <w:style w:type="paragraph" w:customStyle="1" w:styleId="9">
    <w:name w:val="样式 正文文本缩进 + 行距: 1.5 倍行距"/>
    <w:basedOn w:val="1"/>
    <w:qFormat/>
    <w:uiPriority w:val="0"/>
    <w:pPr>
      <w:spacing w:after="120" w:line="360" w:lineRule="auto"/>
      <w:ind w:left="90" w:leftChars="32" w:firstLine="560" w:firstLineChars="200"/>
    </w:pPr>
    <w:rPr>
      <w:rFonts w:cs="宋体"/>
    </w:rPr>
  </w:style>
  <w:style w:type="paragraph" w:styleId="10">
    <w:name w:val="Plain Text"/>
    <w:basedOn w:val="1"/>
    <w:next w:val="8"/>
    <w:qFormat/>
    <w:uiPriority w:val="0"/>
    <w:rPr>
      <w:rFonts w:ascii="宋体" w:hAnsi="Courier New" w:cs="Courier New"/>
      <w:szCs w:val="21"/>
    </w:rPr>
  </w:style>
  <w:style w:type="paragraph" w:styleId="11">
    <w:name w:val="Balloon Text"/>
    <w:basedOn w:val="1"/>
    <w:link w:val="24"/>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li_正文"/>
    <w:basedOn w:val="1"/>
    <w:qFormat/>
    <w:uiPriority w:val="0"/>
    <w:pPr>
      <w:ind w:firstLine="200" w:firstLineChars="200"/>
      <w:jc w:val="left"/>
    </w:pPr>
    <w:rPr>
      <w:sz w:val="28"/>
      <w:szCs w:val="28"/>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批注框文本 Char"/>
    <w:basedOn w:val="19"/>
    <w:link w:val="11"/>
    <w:semiHidden/>
    <w:qFormat/>
    <w:uiPriority w:val="99"/>
    <w:rPr>
      <w:rFonts w:ascii="Calibri" w:hAnsi="Calibri" w:eastAsia="宋体" w:cs="Times New Roman"/>
      <w:kern w:val="2"/>
      <w:sz w:val="18"/>
      <w:szCs w:val="18"/>
    </w:rPr>
  </w:style>
  <w:style w:type="paragraph" w:customStyle="1" w:styleId="25">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正1"/>
    <w:basedOn w:val="1"/>
    <w:link w:val="32"/>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qFormat/>
    <w:uiPriority w:val="0"/>
    <w:rPr>
      <w:kern w:val="2"/>
      <w:sz w:val="21"/>
    </w:rPr>
  </w:style>
  <w:style w:type="paragraph" w:customStyle="1" w:styleId="29">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qFormat/>
    <w:uiPriority w:val="0"/>
    <w:rPr>
      <w:kern w:val="2"/>
      <w:sz w:val="21"/>
    </w:rPr>
  </w:style>
  <w:style w:type="paragraph" w:customStyle="1" w:styleId="31">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qFormat/>
    <w:uiPriority w:val="0"/>
    <w:rPr>
      <w:rFonts w:ascii="Calibri" w:hAnsi="Calibri" w:eastAsia="楷体_GB2312"/>
      <w:kern w:val="2"/>
      <w:sz w:val="24"/>
      <w:szCs w:val="24"/>
    </w:rPr>
  </w:style>
  <w:style w:type="paragraph" w:customStyle="1" w:styleId="33">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semiHidden/>
    <w:qFormat/>
    <w:uiPriority w:val="0"/>
  </w:style>
  <w:style w:type="paragraph" w:customStyle="1" w:styleId="36">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2747</Words>
  <Characters>2886</Characters>
  <Lines>18</Lines>
  <Paragraphs>5</Paragraphs>
  <TotalTime>0</TotalTime>
  <ScaleCrop>false</ScaleCrop>
  <LinksUpToDate>false</LinksUpToDate>
  <CharactersWithSpaces>2929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2023-03-11T03:01:31Z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DAFD249D54E7440C822FD09DA75CBC3C</vt:lpwstr>
  </property>
</Properties>
</file>