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30"/>
          <w:szCs w:val="30"/>
          <w:lang w:val="en-US" w:eastAsia="zh-CN"/>
        </w:rPr>
      </w:pPr>
      <w:r>
        <w:rPr>
          <w:rFonts w:hint="eastAsia" w:ascii="Times New Roman" w:hAnsi="Times New Roman" w:cs="Times New Roman" w:eastAsiaTheme="majorEastAsia"/>
          <w:b/>
          <w:bCs/>
          <w:sz w:val="30"/>
          <w:szCs w:val="30"/>
          <w:lang w:eastAsia="zh-CN"/>
        </w:rPr>
        <w:t>山东云信铝业科技有限公司年产10万吨铝中间合金项目（一期）</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30"/>
          <w:szCs w:val="30"/>
          <w:lang w:eastAsia="zh-CN"/>
        </w:rPr>
      </w:pPr>
      <w:r>
        <w:rPr>
          <w:rFonts w:hint="default" w:ascii="Times New Roman" w:hAnsi="Times New Roman" w:cs="Times New Roman" w:eastAsiaTheme="majorEastAsia"/>
          <w:b/>
          <w:bCs/>
          <w:sz w:val="30"/>
          <w:szCs w:val="30"/>
          <w:lang w:eastAsia="zh-CN"/>
        </w:rPr>
        <w:t>竣工环境保护验收</w:t>
      </w:r>
      <w:r>
        <w:rPr>
          <w:rFonts w:hint="eastAsia" w:ascii="Times New Roman" w:hAnsi="Times New Roman" w:cs="Times New Roman" w:eastAsiaTheme="majorEastAsia"/>
          <w:b/>
          <w:bCs/>
          <w:sz w:val="30"/>
          <w:szCs w:val="30"/>
          <w:lang w:eastAsia="zh-CN"/>
        </w:rPr>
        <w:t>其他需要说明的事项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建设项目竣工环境保护验收暂行办法》，建设单位在“其他需要说明的事项”中应当如实记载环境保护设施设计、施工和验收过程简况、环境影响报告书（表）及其审批部门审批决定中提出的除环境保护设施外的其他环境保护对策措施的实施情况，以及整改工作情况等。现将建设单位需要说明的具体内容和要求列举如下：</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val="en-US" w:eastAsia="zh-CN"/>
        </w:rPr>
        <w:t xml:space="preserve">1 </w:t>
      </w:r>
      <w:r>
        <w:rPr>
          <w:rFonts w:hint="default" w:ascii="Times New Roman" w:hAnsi="Times New Roman" w:cs="Times New Roman" w:eastAsiaTheme="minorEastAsia"/>
          <w:b/>
          <w:sz w:val="28"/>
          <w:szCs w:val="28"/>
        </w:rPr>
        <w:t>环境保护设施设计、施工和验收过程简况</w:t>
      </w:r>
    </w:p>
    <w:p>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1.1 项目</w:t>
      </w:r>
      <w:r>
        <w:rPr>
          <w:rFonts w:hint="default" w:ascii="Times New Roman" w:hAnsi="Times New Roman" w:cs="Times New Roman" w:eastAsiaTheme="minorEastAsia"/>
          <w:b/>
          <w:sz w:val="28"/>
          <w:szCs w:val="28"/>
        </w:rPr>
        <w:t>设计简况</w:t>
      </w:r>
      <w:r>
        <w:rPr>
          <w:rFonts w:hint="default"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w:t>
      </w:r>
      <w:r>
        <w:rPr>
          <w:rFonts w:hint="default" w:ascii="Times New Roman" w:hAnsi="Times New Roman" w:cs="Times New Roman" w:eastAsiaTheme="minorEastAsia"/>
          <w:sz w:val="24"/>
          <w:szCs w:val="24"/>
          <w:lang w:val="en-US" w:eastAsia="zh-CN"/>
        </w:rPr>
        <w:t>项目的环境保护设施</w:t>
      </w:r>
      <w:r>
        <w:rPr>
          <w:rFonts w:hint="eastAsia" w:ascii="Times New Roman" w:hAnsi="Times New Roman" w:cs="Times New Roman" w:eastAsiaTheme="minorEastAsia"/>
          <w:sz w:val="24"/>
          <w:szCs w:val="24"/>
          <w:lang w:val="en-US" w:eastAsia="zh-CN"/>
        </w:rPr>
        <w:t>未</w:t>
      </w:r>
      <w:r>
        <w:rPr>
          <w:rFonts w:hint="default" w:ascii="Times New Roman" w:hAnsi="Times New Roman" w:cs="Times New Roman" w:eastAsiaTheme="minorEastAsia"/>
          <w:sz w:val="24"/>
          <w:szCs w:val="24"/>
          <w:lang w:val="en-US" w:eastAsia="zh-CN"/>
        </w:rPr>
        <w:t>纳入了初步设计，环境保护设施的设计符合环境保护设计规范的要求，落实了防治污染和生态破环的措施以及环境保护设施投资概算。</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1.2</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施工简况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本项目已将环境保护设施纳入了施工合同，环境保护设施的建设进度和资金得到了保证，项目建设过程中组织实施了环境影响报告表及其审批部门审批决定中提出的环境保护对策措施。</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1.3</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验收过程简况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山东云信铝业科技有限公司于2019年9月在茌平区行政审批服务局注册成立，注册资本23500万元人民币，主要从事铝合金、中间合金、铝挤压产品及相关材料的研发、生产、销售，位于山东省聊城市茌平区信发街道信发路1号（山东信发华信铝业有限公司院内），本项目中心地理位置坐标东经116°15'9.89"、北纬36°37'5.67"。</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本项目是尚未建设完全，本次验收范围为山东云信铝业科技有限公司年产10万吨铝中间合金项目（一期）。</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2019年10月28日，山东云信铝业科技有限公司委托山东民通环境安全科技有限公司编制了《山东云信铝业科技有限公司年产10万吨铝中间合金项目环境影响报告书》；2020年7月15日聊城市茌平区行政审批服务局以茌行审投资环审[2020]11号文件予以批复。</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021年12月聊城欧高环境检测中心接受山东云信铝业科技有限公司委托，对“山东云信铝业科技有限公司年产10万吨铝中间合金项目（一期）”进行验收检测。于2021年11月26日、11月27日进行了验收检测，对监测数据进行了分析论证，在此基础上完成了项目竣工环境保护验收监测报告的编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验收结论为：山东云信铝业科技有限公司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于</w:t>
      </w:r>
      <w:r>
        <w:rPr>
          <w:rFonts w:hint="default" w:ascii="Times New Roman" w:hAnsi="Times New Roman" w:cs="Times New Roman" w:eastAsiaTheme="minorEastAsia"/>
          <w:sz w:val="24"/>
          <w:szCs w:val="24"/>
          <w:lang w:val="en-US" w:eastAsia="zh-CN"/>
        </w:rPr>
        <w:t>2022年</w:t>
      </w:r>
      <w:r>
        <w:rPr>
          <w:rFonts w:hint="eastAsia" w:ascii="Times New Roman" w:hAnsi="Times New Roman" w:cs="Times New Roman" w:eastAsiaTheme="minorEastAsia"/>
          <w:sz w:val="24"/>
          <w:szCs w:val="24"/>
          <w:lang w:val="en-US" w:eastAsia="zh-CN"/>
        </w:rPr>
        <w:t>01</w:t>
      </w:r>
      <w:r>
        <w:rPr>
          <w:rFonts w:hint="default" w:ascii="Times New Roman" w:hAnsi="Times New Roman" w:cs="Times New Roman" w:eastAsiaTheme="minorEastAsia"/>
          <w:sz w:val="24"/>
          <w:szCs w:val="24"/>
          <w:lang w:val="en-US" w:eastAsia="zh-CN"/>
        </w:rPr>
        <w:t>月</w:t>
      </w:r>
      <w:r>
        <w:rPr>
          <w:rFonts w:hint="eastAsia" w:ascii="Times New Roman" w:hAnsi="Times New Roman" w:cs="Times New Roman" w:eastAsiaTheme="minorEastAsia"/>
          <w:sz w:val="24"/>
          <w:szCs w:val="24"/>
          <w:lang w:val="en-US" w:eastAsia="zh-CN"/>
        </w:rPr>
        <w:t>03</w:t>
      </w:r>
      <w:r>
        <w:rPr>
          <w:rFonts w:hint="default" w:ascii="Times New Roman" w:hAnsi="Times New Roman" w:cs="Times New Roman" w:eastAsiaTheme="minorEastAsia"/>
          <w:sz w:val="24"/>
          <w:szCs w:val="24"/>
          <w:lang w:val="en-US" w:eastAsia="zh-CN"/>
        </w:rPr>
        <w:t>日</w:t>
      </w:r>
      <w:r>
        <w:rPr>
          <w:rFonts w:hint="eastAsia" w:ascii="Times New Roman" w:hAnsi="Times New Roman" w:cs="Times New Roman" w:eastAsiaTheme="minorEastAsia"/>
          <w:sz w:val="24"/>
          <w:szCs w:val="24"/>
          <w:lang w:val="en-US" w:eastAsia="zh-CN"/>
        </w:rPr>
        <w:t>验收工作组原则上同意该项目环保设施通过环保验收。</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1.4 公众反馈意见及处理情况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建设项目设计、施工和验收期间未收到过公众反馈意见或投诉、反馈或投诉的内容。</w:t>
      </w:r>
    </w:p>
    <w:p>
      <w:pPr>
        <w:keepNext w:val="0"/>
        <w:keepLines w:val="0"/>
        <w:pageBreakBefore w:val="0"/>
        <w:kinsoku/>
        <w:wordWrap/>
        <w:overflowPunct/>
        <w:topLinePunct w:val="0"/>
        <w:bidi w:val="0"/>
        <w:spacing w:line="560" w:lineRule="exact"/>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其他环境保护措施的实施情况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环境影响报告书（表）及其审批部门审批决定中提出的，除环境保护设施外的其他环境保护措施，主要包括制度措施和配套措施等，现将需要说明的措施内容和要求梳理如下：</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2.1</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制度措施落实情况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（1）环保组织机构及规章制度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本公司己建立环保组织机构及规章制度。本公司成立了环境保护工作组</w:t>
      </w:r>
      <w:r>
        <w:rPr>
          <w:rFonts w:hint="eastAsia" w:ascii="Times New Roman" w:hAnsi="Times New Roman" w:cs="Times New Roman" w:eastAsia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负责企业环保全面工作，是企业环保的第一责任人。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副组长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工作的日常监督管理，负责环保相关信息搜索、培训、宣传及执行；保卫科负责厂区环境安全卫生的日常维护；负责车间生产环境卫生的控制，负责车间用电的控制；负责相关环保设备设施的维护及日常运转。负责固废的外运和处理及必要的环保设备的购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本公司针对各项环保设施制订了运行维护管理制度、设施操作规程。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（2）环境风险防范措施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①</w:t>
      </w:r>
      <w:r>
        <w:rPr>
          <w:rFonts w:hint="eastAsia" w:ascii="Times New Roman" w:hAnsi="Times New Roman" w:cs="Times New Roman" w:eastAsiaTheme="minorEastAsia"/>
          <w:sz w:val="24"/>
          <w:szCs w:val="24"/>
          <w:lang w:val="en-US" w:eastAsia="zh-CN"/>
        </w:rPr>
        <w:t>对装置的管道、阀门、法兰等接口处，要定期或不定期的巡回检查，一旦发现泄漏，应及时上报有关部门，并立即组织抢修。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②</w:t>
      </w:r>
      <w:r>
        <w:rPr>
          <w:rFonts w:hint="eastAsia" w:ascii="Times New Roman" w:hAnsi="Times New Roman" w:cs="Times New Roman" w:eastAsiaTheme="minorEastAsia"/>
          <w:sz w:val="24"/>
          <w:szCs w:val="24"/>
          <w:lang w:val="en-US" w:eastAsia="zh-CN"/>
        </w:rPr>
        <w:t xml:space="preserve">要进一步完善废气处理装置，保障装置的正常运行。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③</w:t>
      </w:r>
      <w:r>
        <w:rPr>
          <w:rFonts w:hint="eastAsia" w:ascii="Times New Roman" w:hAnsi="Times New Roman" w:cs="Times New Roman" w:eastAsiaTheme="minorEastAsia"/>
          <w:sz w:val="24"/>
          <w:szCs w:val="24"/>
          <w:lang w:val="en-US" w:eastAsia="zh-CN"/>
        </w:rPr>
        <w:t xml:space="preserve">根据泄漏事故的影响范围预测结果，在配套安全生产防护措施时，应按最大安全半径和最短人群疏散时间进行设计。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④</w:t>
      </w:r>
      <w:r>
        <w:rPr>
          <w:rFonts w:hint="eastAsia" w:ascii="Times New Roman" w:hAnsi="Times New Roman" w:cs="Times New Roman" w:eastAsiaTheme="minorEastAsia"/>
          <w:sz w:val="24"/>
          <w:szCs w:val="24"/>
          <w:lang w:val="en-US" w:eastAsia="zh-CN"/>
        </w:rPr>
        <w:t xml:space="preserve">在出现大面积物料泄漏时，组织疏散，减少伤害。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⑤</w:t>
      </w:r>
      <w:r>
        <w:rPr>
          <w:rFonts w:hint="eastAsia" w:ascii="Times New Roman" w:hAnsi="Times New Roman" w:cs="Times New Roman" w:eastAsiaTheme="minorEastAsia"/>
          <w:sz w:val="24"/>
          <w:szCs w:val="24"/>
          <w:lang w:val="en-US" w:eastAsia="zh-CN"/>
        </w:rPr>
        <w:t xml:space="preserve">为防止电气误操作，高压开关和隔离开关以及接地刀闸之间应装设闭锁装置。高压开关柜应具备防止误分，误合，防止带负荷拉合隔离开关，防止带电挂接地线，防止带接地线合断路器或隔离开关，防止误入带电间隔等功能。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⑥</w:t>
      </w:r>
      <w:r>
        <w:rPr>
          <w:rFonts w:hint="eastAsia" w:ascii="Times New Roman" w:hAnsi="Times New Roman" w:cs="Times New Roman" w:eastAsiaTheme="minorEastAsia"/>
          <w:sz w:val="24"/>
          <w:szCs w:val="24"/>
          <w:lang w:val="en-US" w:eastAsia="zh-CN"/>
        </w:rPr>
        <w:t xml:space="preserve">作业场所根据作业特点及防护标准配备急救箱。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⑦</w:t>
      </w:r>
      <w:r>
        <w:rPr>
          <w:rFonts w:hint="eastAsia" w:ascii="Times New Roman" w:hAnsi="Times New Roman" w:cs="Times New Roman" w:eastAsiaTheme="minorEastAsia"/>
          <w:sz w:val="24"/>
          <w:szCs w:val="24"/>
          <w:lang w:val="en-US" w:eastAsia="zh-CN"/>
        </w:rPr>
        <w:t xml:space="preserve">备用电源：设双回路电源或备有柴油发电机组。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⑧</w:t>
      </w:r>
      <w:r>
        <w:rPr>
          <w:rFonts w:hint="eastAsia" w:ascii="Times New Roman" w:hAnsi="Times New Roman" w:cs="Times New Roman" w:eastAsiaTheme="minorEastAsia"/>
          <w:sz w:val="24"/>
          <w:szCs w:val="24"/>
          <w:lang w:val="en-US" w:eastAsia="zh-CN"/>
        </w:rPr>
        <w:t xml:space="preserve">根据工艺参数确定管道等级，选用优质阀门。各类控制阀门严格按工艺要求操作。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⑨</w:t>
      </w:r>
      <w:r>
        <w:rPr>
          <w:rFonts w:hint="eastAsia" w:ascii="Times New Roman" w:hAnsi="Times New Roman" w:cs="Times New Roman" w:eastAsiaTheme="minorEastAsia"/>
          <w:sz w:val="24"/>
          <w:szCs w:val="24"/>
          <w:lang w:val="en-US" w:eastAsia="zh-CN"/>
        </w:rPr>
        <w:t xml:space="preserve">储存物料应远离火源，采用防爆电机和防爆电气设备及隔爆型监控仪表。一旦发生火灾，要切断储罐进出口阀门，然后用泡沫、干粉等灭火。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⑩</w:t>
      </w:r>
      <w:r>
        <w:rPr>
          <w:rFonts w:hint="eastAsia" w:ascii="Times New Roman" w:hAnsi="Times New Roman" w:cs="Times New Roman" w:eastAsiaTheme="minorEastAsia"/>
          <w:sz w:val="24"/>
          <w:szCs w:val="24"/>
          <w:lang w:val="en-US" w:eastAsia="zh-CN"/>
        </w:rPr>
        <w:t xml:space="preserve">联锁保护：其中任何一台设备发生故障将发出停机讯号，以保证安全生产。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⑪</w:t>
      </w:r>
      <w:r>
        <w:rPr>
          <w:rFonts w:hint="eastAsia" w:ascii="Times New Roman" w:hAnsi="Times New Roman" w:cs="Times New Roman" w:eastAsiaTheme="minorEastAsia"/>
          <w:sz w:val="24"/>
          <w:szCs w:val="24"/>
          <w:lang w:val="en-US" w:eastAsia="zh-CN"/>
        </w:rPr>
        <w:t>天然气泄漏时，当空气中浓度达到 25%时，可导致人体缺氧而造成精神系统损伤，严重时表现为呼吸麻痹、昏迷、甚至死亡。生产过程中，一旦发现天然气泄漏，排线人员立刻达到现场，关闭阀门，切断气源，积极抢救人员；及时防止燃烧爆炸事故，控制各种火源，进入泄漏区排险人员，严禁穿钉鞋和化纤衣服，以免发生碰撞产生火花；在泄漏区域周围至少隔离 50 米，将人员转移至上风向，不要停留在地势低洼区域。</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（3）环境监测计划</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对项目运营过程中产生的污染物进行监测，监测点的选取、监测项目确定均按《排污单位自行监测技术指南》及排污许可要求执行。监测制度详细内容见下表。</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kern w:val="0"/>
          <w:sz w:val="24"/>
          <w:szCs w:val="24"/>
          <w:lang w:val="en-US" w:eastAsia="zh-CN" w:bidi="ar"/>
        </w:rPr>
      </w:pPr>
      <w:r>
        <w:rPr>
          <w:rFonts w:hint="default" w:ascii="宋体" w:hAnsi="宋体" w:eastAsia="宋体" w:cs="宋体"/>
          <w:b/>
          <w:bCs/>
          <w:color w:val="000000"/>
          <w:kern w:val="0"/>
          <w:sz w:val="24"/>
          <w:szCs w:val="24"/>
          <w:lang w:val="en-US" w:eastAsia="zh-CN" w:bidi="ar"/>
        </w:rPr>
        <w:t>监测计划一览表</w:t>
      </w:r>
    </w:p>
    <w:tbl>
      <w:tblPr>
        <w:tblStyle w:val="18"/>
        <w:tblW w:w="86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491"/>
        <w:gridCol w:w="971"/>
        <w:gridCol w:w="54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6" w:type="pct"/>
            <w:tcBorders>
              <w:tl2br w:val="nil"/>
              <w:tr2bl w:val="nil"/>
            </w:tcBorders>
            <w:noWrap w:val="0"/>
            <w:vAlign w:val="center"/>
          </w:tcPr>
          <w:p>
            <w:pPr>
              <w:spacing w:line="36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项目</w:t>
            </w:r>
          </w:p>
        </w:tc>
        <w:tc>
          <w:tcPr>
            <w:tcW w:w="4563" w:type="pct"/>
            <w:gridSpan w:val="3"/>
            <w:tcBorders>
              <w:tl2br w:val="nil"/>
              <w:tr2bl w:val="nil"/>
            </w:tcBorders>
            <w:noWrap w:val="0"/>
            <w:vAlign w:val="center"/>
          </w:tcPr>
          <w:p>
            <w:pPr>
              <w:spacing w:line="36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监测制度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6" w:type="pct"/>
            <w:vMerge w:val="restart"/>
            <w:tcBorders>
              <w:tl2br w:val="nil"/>
              <w:tr2bl w:val="nil"/>
            </w:tcBorders>
            <w:noWrap w:val="0"/>
            <w:vAlign w:val="center"/>
          </w:tcPr>
          <w:p>
            <w:pPr>
              <w:spacing w:line="360" w:lineRule="exact"/>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废气</w:t>
            </w:r>
          </w:p>
        </w:tc>
        <w:tc>
          <w:tcPr>
            <w:tcW w:w="858" w:type="pct"/>
            <w:vMerge w:val="restart"/>
            <w:tcBorders>
              <w:tl2br w:val="nil"/>
              <w:tr2bl w:val="nil"/>
            </w:tcBorders>
            <w:noWrap w:val="0"/>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监测项目</w:t>
            </w:r>
          </w:p>
        </w:tc>
        <w:tc>
          <w:tcPr>
            <w:tcW w:w="559" w:type="pct"/>
            <w:tcBorders>
              <w:tl2br w:val="nil"/>
              <w:tr2bl w:val="nil"/>
            </w:tcBorders>
            <w:noWrap w:val="0"/>
            <w:vAlign w:val="center"/>
          </w:tcPr>
          <w:p>
            <w:pPr>
              <w:pStyle w:val="43"/>
              <w:jc w:val="center"/>
              <w:rPr>
                <w:rFonts w:hint="default" w:ascii="Times New Roman" w:hAnsi="Times New Roman" w:cs="Times New Roman"/>
                <w:sz w:val="21"/>
                <w:szCs w:val="21"/>
                <w:lang w:val="en-US" w:eastAsia="zh-CN"/>
              </w:rPr>
            </w:pPr>
            <w:r>
              <w:rPr>
                <w:rFonts w:hint="default" w:ascii="Times New Roman" w:hAnsi="Times New Roman" w:cs="Times New Roman"/>
                <w:color w:val="auto"/>
                <w:sz w:val="21"/>
                <w:szCs w:val="21"/>
                <w:lang w:val="en-US" w:eastAsia="zh-CN"/>
              </w:rPr>
              <w:t>有组织</w:t>
            </w:r>
          </w:p>
        </w:tc>
        <w:tc>
          <w:tcPr>
            <w:tcW w:w="3145" w:type="pct"/>
            <w:tcBorders>
              <w:tl2br w:val="nil"/>
              <w:tr2bl w:val="nil"/>
            </w:tcBorders>
            <w:noWrap w:val="0"/>
            <w:vAlign w:val="center"/>
          </w:tcPr>
          <w:p>
            <w:pPr>
              <w:pStyle w:val="43"/>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position w:val="2"/>
                <w:sz w:val="21"/>
                <w:szCs w:val="21"/>
                <w:highlight w:val="none"/>
                <w:lang w:val="en-US" w:eastAsia="zh-CN"/>
              </w:rPr>
              <w:t>DA001：</w:t>
            </w:r>
            <w:r>
              <w:rPr>
                <w:rFonts w:hint="default" w:ascii="Times New Roman" w:hAnsi="Times New Roman" w:cs="Times New Roman"/>
                <w:color w:val="auto"/>
                <w:position w:val="2"/>
                <w:sz w:val="21"/>
                <w:szCs w:val="21"/>
                <w:highlight w:val="none"/>
              </w:rPr>
              <w:t>SO</w:t>
            </w:r>
            <w:r>
              <w:rPr>
                <w:rFonts w:hint="default" w:ascii="Times New Roman" w:hAnsi="Times New Roman" w:cs="Times New Roman"/>
                <w:color w:val="auto"/>
                <w:position w:val="2"/>
                <w:sz w:val="21"/>
                <w:szCs w:val="21"/>
                <w:highlight w:val="none"/>
                <w:vertAlign w:val="subscript"/>
              </w:rPr>
              <w:t>2</w:t>
            </w:r>
            <w:r>
              <w:rPr>
                <w:rFonts w:hint="default" w:ascii="Times New Roman" w:hAnsi="Times New Roman" w:cs="Times New Roman"/>
                <w:color w:val="auto"/>
                <w:position w:val="2"/>
                <w:sz w:val="21"/>
                <w:szCs w:val="21"/>
                <w:highlight w:val="none"/>
                <w:vertAlign w:val="baseline"/>
                <w:lang w:eastAsia="zh-CN"/>
              </w:rPr>
              <w:t>、</w:t>
            </w:r>
            <w:r>
              <w:rPr>
                <w:rFonts w:hint="default" w:ascii="Times New Roman" w:hAnsi="Times New Roman" w:cs="Times New Roman"/>
                <w:color w:val="auto"/>
                <w:position w:val="2"/>
                <w:sz w:val="21"/>
                <w:szCs w:val="21"/>
                <w:highlight w:val="none"/>
              </w:rPr>
              <w:t>NO</w:t>
            </w:r>
            <w:r>
              <w:rPr>
                <w:rFonts w:hint="default" w:ascii="Times New Roman" w:hAnsi="Times New Roman" w:cs="Times New Roman"/>
                <w:color w:val="auto"/>
                <w:position w:val="2"/>
                <w:sz w:val="21"/>
                <w:szCs w:val="21"/>
                <w:highlight w:val="none"/>
                <w:vertAlign w:val="subscript"/>
              </w:rPr>
              <w:t>X</w:t>
            </w:r>
            <w:r>
              <w:rPr>
                <w:rFonts w:hint="default" w:ascii="Times New Roman" w:hAnsi="Times New Roman" w:cs="Times New Roman"/>
                <w:color w:val="auto"/>
                <w:position w:val="2"/>
                <w:sz w:val="21"/>
                <w:szCs w:val="21"/>
                <w:highlight w:val="none"/>
                <w:vertAlign w:val="baseline"/>
                <w:lang w:eastAsia="zh-CN"/>
              </w:rPr>
              <w:t>、</w:t>
            </w:r>
            <w:r>
              <w:rPr>
                <w:rFonts w:hint="default" w:ascii="Times New Roman" w:hAnsi="Times New Roman" w:cs="Times New Roman"/>
                <w:color w:val="auto"/>
                <w:sz w:val="21"/>
                <w:szCs w:val="21"/>
                <w:highlight w:val="none"/>
              </w:rPr>
              <w:t>颗粒物</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氟化物</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氯化氢</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铜及其化合物</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锰</w:t>
            </w:r>
            <w:r>
              <w:rPr>
                <w:rFonts w:hint="default" w:ascii="Times New Roman" w:hAnsi="Times New Roman" w:cs="Times New Roman"/>
                <w:color w:val="auto"/>
                <w:sz w:val="21"/>
                <w:szCs w:val="21"/>
                <w:highlight w:val="none"/>
              </w:rPr>
              <w:t>及其化合物</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铍及其化合物</w:t>
            </w:r>
            <w:r>
              <w:rPr>
                <w:rFonts w:hint="eastAsia" w:ascii="Times New Roman" w:hAnsi="Times New Roman" w:cs="Times New Roman"/>
                <w:color w:val="auto"/>
                <w:sz w:val="21"/>
                <w:szCs w:val="21"/>
                <w:highlight w:val="none"/>
                <w:lang w:eastAsia="zh-CN"/>
              </w:rPr>
              <w:t>；</w:t>
            </w:r>
          </w:p>
          <w:p>
            <w:pPr>
              <w:pStyle w:val="43"/>
              <w:jc w:val="both"/>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DA002：颗粒物。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6" w:type="pct"/>
            <w:vMerge w:val="continue"/>
            <w:tcBorders>
              <w:tl2br w:val="nil"/>
              <w:tr2bl w:val="nil"/>
            </w:tcBorders>
            <w:noWrap w:val="0"/>
            <w:vAlign w:val="center"/>
          </w:tcPr>
          <w:p>
            <w:pPr>
              <w:spacing w:line="360" w:lineRule="exact"/>
              <w:jc w:val="center"/>
              <w:rPr>
                <w:rFonts w:hint="default" w:ascii="Times New Roman" w:hAnsi="Times New Roman" w:cs="Times New Roman"/>
                <w:b/>
                <w:bCs/>
                <w:sz w:val="21"/>
                <w:szCs w:val="21"/>
                <w:lang w:val="en-US" w:eastAsia="zh-CN"/>
              </w:rPr>
            </w:pPr>
          </w:p>
        </w:tc>
        <w:tc>
          <w:tcPr>
            <w:tcW w:w="858" w:type="pct"/>
            <w:vMerge w:val="continue"/>
            <w:tcBorders>
              <w:tl2br w:val="nil"/>
              <w:tr2bl w:val="nil"/>
            </w:tcBorders>
            <w:noWrap w:val="0"/>
            <w:vAlign w:val="center"/>
          </w:tcPr>
          <w:p>
            <w:pPr>
              <w:spacing w:line="360" w:lineRule="exact"/>
              <w:jc w:val="center"/>
              <w:rPr>
                <w:rFonts w:hint="default" w:ascii="Times New Roman" w:hAnsi="Times New Roman" w:cs="Times New Roman"/>
                <w:sz w:val="21"/>
                <w:szCs w:val="21"/>
              </w:rPr>
            </w:pPr>
          </w:p>
        </w:tc>
        <w:tc>
          <w:tcPr>
            <w:tcW w:w="559" w:type="pct"/>
            <w:tcBorders>
              <w:tl2br w:val="nil"/>
              <w:tr2bl w:val="nil"/>
            </w:tcBorders>
            <w:noWrap w:val="0"/>
            <w:vAlign w:val="center"/>
          </w:tcPr>
          <w:p>
            <w:pPr>
              <w:pStyle w:val="43"/>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无组织</w:t>
            </w:r>
          </w:p>
        </w:tc>
        <w:tc>
          <w:tcPr>
            <w:tcW w:w="3145" w:type="pct"/>
            <w:tcBorders>
              <w:tl2br w:val="nil"/>
              <w:tr2bl w:val="nil"/>
            </w:tcBorders>
            <w:noWrap w:val="0"/>
            <w:vAlign w:val="center"/>
          </w:tcPr>
          <w:p>
            <w:pPr>
              <w:pStyle w:val="43"/>
              <w:jc w:val="both"/>
              <w:rPr>
                <w:rFonts w:hint="default" w:ascii="Times New Roman" w:hAnsi="Times New Roman" w:eastAsia="宋体" w:cs="Times New Roman"/>
                <w:color w:val="auto"/>
                <w:position w:val="2"/>
                <w:sz w:val="21"/>
                <w:szCs w:val="21"/>
                <w:highlight w:val="none"/>
                <w:lang w:val="en-US" w:eastAsia="zh-CN"/>
              </w:rPr>
            </w:pPr>
            <w:r>
              <w:rPr>
                <w:rFonts w:hint="eastAsia" w:ascii="Times New Roman" w:hAnsi="Times New Roman" w:eastAsia="宋体" w:cs="Times New Roman"/>
                <w:color w:val="auto"/>
                <w:position w:val="2"/>
                <w:sz w:val="21"/>
                <w:szCs w:val="21"/>
                <w:highlight w:val="none"/>
                <w:lang w:val="en-US" w:eastAsia="zh-CN"/>
              </w:rPr>
              <w:t>氯化氢、氟化物、颗粒物、铍及其化合物。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6" w:type="pct"/>
            <w:vMerge w:val="continue"/>
            <w:tcBorders>
              <w:tl2br w:val="nil"/>
              <w:tr2bl w:val="nil"/>
            </w:tcBorders>
            <w:noWrap w:val="0"/>
            <w:vAlign w:val="center"/>
          </w:tcPr>
          <w:p>
            <w:pPr>
              <w:spacing w:line="360" w:lineRule="exact"/>
              <w:jc w:val="center"/>
              <w:rPr>
                <w:rFonts w:hint="default" w:ascii="Times New Roman" w:hAnsi="Times New Roman" w:cs="Times New Roman"/>
                <w:b/>
                <w:bCs/>
                <w:sz w:val="21"/>
                <w:szCs w:val="21"/>
                <w:lang w:val="en-US" w:eastAsia="zh-CN"/>
              </w:rPr>
            </w:pPr>
          </w:p>
        </w:tc>
        <w:tc>
          <w:tcPr>
            <w:tcW w:w="858" w:type="pct"/>
            <w:vMerge w:val="restart"/>
            <w:tcBorders>
              <w:tl2br w:val="nil"/>
              <w:tr2bl w:val="nil"/>
            </w:tcBorders>
            <w:noWrap w:val="0"/>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监测布点</w:t>
            </w:r>
          </w:p>
        </w:tc>
        <w:tc>
          <w:tcPr>
            <w:tcW w:w="559" w:type="pct"/>
            <w:tcBorders>
              <w:tl2br w:val="nil"/>
              <w:tr2bl w:val="nil"/>
            </w:tcBorders>
            <w:noWrap w:val="0"/>
            <w:vAlign w:val="center"/>
          </w:tcPr>
          <w:p>
            <w:pPr>
              <w:pStyle w:val="43"/>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有组织</w:t>
            </w:r>
          </w:p>
        </w:tc>
        <w:tc>
          <w:tcPr>
            <w:tcW w:w="3145" w:type="pct"/>
            <w:tcBorders>
              <w:tl2br w:val="nil"/>
              <w:tr2bl w:val="nil"/>
            </w:tcBorders>
            <w:noWrap w:val="0"/>
            <w:vAlign w:val="center"/>
          </w:tcPr>
          <w:p>
            <w:pPr>
              <w:pStyle w:val="43"/>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DA001和DA002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6" w:type="pct"/>
            <w:vMerge w:val="continue"/>
            <w:tcBorders>
              <w:tl2br w:val="nil"/>
              <w:tr2bl w:val="nil"/>
            </w:tcBorders>
            <w:noWrap w:val="0"/>
            <w:vAlign w:val="center"/>
          </w:tcPr>
          <w:p>
            <w:pPr>
              <w:spacing w:line="360" w:lineRule="exact"/>
              <w:jc w:val="center"/>
              <w:rPr>
                <w:rFonts w:hint="default" w:ascii="Times New Roman" w:hAnsi="Times New Roman" w:cs="Times New Roman"/>
                <w:b/>
                <w:bCs/>
                <w:sz w:val="21"/>
                <w:szCs w:val="21"/>
              </w:rPr>
            </w:pPr>
          </w:p>
        </w:tc>
        <w:tc>
          <w:tcPr>
            <w:tcW w:w="858" w:type="pct"/>
            <w:vMerge w:val="continue"/>
            <w:tcBorders>
              <w:tl2br w:val="nil"/>
              <w:tr2bl w:val="nil"/>
            </w:tcBorders>
            <w:noWrap w:val="0"/>
            <w:vAlign w:val="center"/>
          </w:tcPr>
          <w:p>
            <w:pPr>
              <w:spacing w:line="360" w:lineRule="exact"/>
              <w:jc w:val="center"/>
              <w:rPr>
                <w:rFonts w:hint="default" w:ascii="Times New Roman" w:hAnsi="Times New Roman" w:cs="Times New Roman"/>
                <w:sz w:val="21"/>
                <w:szCs w:val="21"/>
              </w:rPr>
            </w:pPr>
          </w:p>
        </w:tc>
        <w:tc>
          <w:tcPr>
            <w:tcW w:w="559" w:type="pct"/>
            <w:tcBorders>
              <w:tl2br w:val="nil"/>
              <w:tr2bl w:val="nil"/>
            </w:tcBorders>
            <w:noWrap w:val="0"/>
            <w:vAlign w:val="center"/>
          </w:tcPr>
          <w:p>
            <w:pPr>
              <w:pStyle w:val="43"/>
              <w:jc w:val="center"/>
              <w:rPr>
                <w:rFonts w:hint="default" w:ascii="Times New Roman" w:hAnsi="Times New Roman" w:eastAsia="宋体" w:cs="Times New Roman"/>
                <w:sz w:val="21"/>
                <w:szCs w:val="21"/>
                <w:lang w:val="en-US" w:eastAsia="zh-CN"/>
              </w:rPr>
            </w:pPr>
            <w:r>
              <w:rPr>
                <w:rFonts w:hint="default" w:ascii="Times New Roman" w:hAnsi="Times New Roman" w:cs="Times New Roman"/>
                <w:color w:val="auto"/>
                <w:sz w:val="21"/>
                <w:szCs w:val="21"/>
                <w:lang w:val="en-US" w:eastAsia="zh-CN"/>
              </w:rPr>
              <w:t>无组织</w:t>
            </w:r>
          </w:p>
        </w:tc>
        <w:tc>
          <w:tcPr>
            <w:tcW w:w="3145" w:type="pct"/>
            <w:tcBorders>
              <w:tl2br w:val="nil"/>
              <w:tr2bl w:val="nil"/>
            </w:tcBorders>
            <w:noWrap w:val="0"/>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上风向一个点，下风向三个点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6" w:type="pct"/>
            <w:vMerge w:val="continue"/>
            <w:tcBorders>
              <w:tl2br w:val="nil"/>
              <w:tr2bl w:val="nil"/>
            </w:tcBorders>
            <w:noWrap w:val="0"/>
            <w:vAlign w:val="center"/>
          </w:tcPr>
          <w:p>
            <w:pPr>
              <w:spacing w:line="360" w:lineRule="exact"/>
              <w:jc w:val="center"/>
              <w:rPr>
                <w:rFonts w:hint="default" w:ascii="Times New Roman" w:hAnsi="Times New Roman" w:cs="Times New Roman"/>
                <w:b/>
                <w:bCs/>
                <w:sz w:val="21"/>
                <w:szCs w:val="21"/>
              </w:rPr>
            </w:pPr>
          </w:p>
        </w:tc>
        <w:tc>
          <w:tcPr>
            <w:tcW w:w="858" w:type="pct"/>
            <w:vMerge w:val="restart"/>
            <w:tcBorders>
              <w:tl2br w:val="nil"/>
              <w:tr2bl w:val="nil"/>
            </w:tcBorders>
            <w:noWrap w:val="0"/>
            <w:vAlign w:val="center"/>
          </w:tcPr>
          <w:p>
            <w:pPr>
              <w:spacing w:line="36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监测频率</w:t>
            </w:r>
          </w:p>
        </w:tc>
        <w:tc>
          <w:tcPr>
            <w:tcW w:w="3704" w:type="pct"/>
            <w:gridSpan w:val="2"/>
            <w:tcBorders>
              <w:tl2br w:val="nil"/>
              <w:tr2bl w:val="nil"/>
            </w:tcBorders>
            <w:noWrap w:val="0"/>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正常情况下</w:t>
            </w:r>
            <w:r>
              <w:rPr>
                <w:rFonts w:hint="default" w:ascii="Times New Roman" w:hAnsi="Times New Roman" w:cs="Times New Roman"/>
                <w:sz w:val="21"/>
                <w:szCs w:val="21"/>
                <w:lang w:val="en-US" w:eastAsia="zh-CN"/>
              </w:rPr>
              <w:t>半</w:t>
            </w:r>
            <w:r>
              <w:rPr>
                <w:rFonts w:hint="default" w:ascii="Times New Roman" w:hAnsi="Times New Roman" w:cs="Times New Roman"/>
                <w:sz w:val="21"/>
                <w:szCs w:val="21"/>
                <w:lang w:eastAsia="zh-CN"/>
              </w:rPr>
              <w:t>年</w:t>
            </w:r>
            <w:r>
              <w:rPr>
                <w:rFonts w:hint="default" w:ascii="Times New Roman" w:hAnsi="Times New Roman" w:cs="Times New Roman"/>
                <w:sz w:val="21"/>
                <w:szCs w:val="21"/>
              </w:rPr>
              <w:t>一次，每次连续</w:t>
            </w: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天，每天采样</w:t>
            </w: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次，采样时间需保证能够达到最低检出限。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436" w:type="pct"/>
            <w:vMerge w:val="continue"/>
            <w:tcBorders>
              <w:tl2br w:val="nil"/>
              <w:tr2bl w:val="nil"/>
            </w:tcBorders>
            <w:noWrap w:val="0"/>
            <w:vAlign w:val="center"/>
          </w:tcPr>
          <w:p>
            <w:pPr>
              <w:spacing w:line="360" w:lineRule="exact"/>
              <w:jc w:val="center"/>
              <w:rPr>
                <w:rFonts w:hint="default" w:ascii="Times New Roman" w:hAnsi="Times New Roman" w:cs="Times New Roman"/>
                <w:b/>
                <w:bCs/>
                <w:sz w:val="21"/>
                <w:szCs w:val="21"/>
              </w:rPr>
            </w:pPr>
          </w:p>
        </w:tc>
        <w:tc>
          <w:tcPr>
            <w:tcW w:w="858" w:type="pct"/>
            <w:vMerge w:val="continue"/>
            <w:tcBorders>
              <w:tl2br w:val="nil"/>
              <w:tr2bl w:val="nil"/>
            </w:tcBorders>
            <w:noWrap w:val="0"/>
            <w:vAlign w:val="center"/>
          </w:tcPr>
          <w:p>
            <w:pPr>
              <w:spacing w:line="360" w:lineRule="exact"/>
              <w:jc w:val="center"/>
              <w:rPr>
                <w:rFonts w:hint="default" w:ascii="Times New Roman" w:hAnsi="Times New Roman" w:cs="Times New Roman"/>
                <w:sz w:val="21"/>
                <w:szCs w:val="21"/>
              </w:rPr>
            </w:pPr>
          </w:p>
        </w:tc>
        <w:tc>
          <w:tcPr>
            <w:tcW w:w="3704" w:type="pct"/>
            <w:gridSpan w:val="2"/>
            <w:tcBorders>
              <w:tl2br w:val="nil"/>
              <w:tr2bl w:val="nil"/>
            </w:tcBorders>
            <w:noWrap w:val="0"/>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非正常情况发生时，随时安排必要的监测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6" w:type="pct"/>
            <w:vMerge w:val="continue"/>
            <w:tcBorders>
              <w:tl2br w:val="nil"/>
              <w:tr2bl w:val="nil"/>
            </w:tcBorders>
            <w:noWrap w:val="0"/>
            <w:vAlign w:val="center"/>
          </w:tcPr>
          <w:p>
            <w:pPr>
              <w:spacing w:line="360" w:lineRule="exact"/>
              <w:jc w:val="center"/>
              <w:rPr>
                <w:rFonts w:hint="default" w:ascii="Times New Roman" w:hAnsi="Times New Roman" w:cs="Times New Roman"/>
                <w:b/>
                <w:bCs/>
                <w:sz w:val="21"/>
                <w:szCs w:val="21"/>
              </w:rPr>
            </w:pPr>
          </w:p>
        </w:tc>
        <w:tc>
          <w:tcPr>
            <w:tcW w:w="858" w:type="pct"/>
            <w:tcBorders>
              <w:tl2br w:val="nil"/>
              <w:tr2bl w:val="nil"/>
            </w:tcBorders>
            <w:noWrap w:val="0"/>
            <w:vAlign w:val="center"/>
          </w:tcPr>
          <w:p>
            <w:pPr>
              <w:spacing w:line="360" w:lineRule="exact"/>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采样分析、数据处理</w:t>
            </w:r>
          </w:p>
        </w:tc>
        <w:tc>
          <w:tcPr>
            <w:tcW w:w="3704" w:type="pct"/>
            <w:gridSpan w:val="2"/>
            <w:tcBorders>
              <w:tl2br w:val="nil"/>
              <w:tr2bl w:val="nil"/>
            </w:tcBorders>
            <w:noWrap w:val="0"/>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按照《环境空气质量标准》（GB3095-2012）、《空气和废气监测分析方法》、《环境监测技术规范》、《大气污染物无组织排放监测技术导则》的有关规定进行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6" w:type="pct"/>
            <w:vMerge w:val="restart"/>
            <w:tcBorders>
              <w:tl2br w:val="nil"/>
              <w:tr2bl w:val="nil"/>
            </w:tcBorders>
            <w:noWrap w:val="0"/>
            <w:vAlign w:val="center"/>
          </w:tcPr>
          <w:p>
            <w:pPr>
              <w:spacing w:line="36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噪声</w:t>
            </w:r>
          </w:p>
        </w:tc>
        <w:tc>
          <w:tcPr>
            <w:tcW w:w="858" w:type="pct"/>
            <w:tcBorders>
              <w:tl2br w:val="nil"/>
              <w:tr2bl w:val="nil"/>
            </w:tcBorders>
            <w:noWrap w:val="0"/>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监测项目</w:t>
            </w:r>
          </w:p>
        </w:tc>
        <w:tc>
          <w:tcPr>
            <w:tcW w:w="3704" w:type="pct"/>
            <w:gridSpan w:val="2"/>
            <w:tcBorders>
              <w:tl2br w:val="nil"/>
              <w:tr2bl w:val="nil"/>
            </w:tcBorders>
            <w:noWrap w:val="0"/>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LeqdB（A）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6" w:type="pct"/>
            <w:vMerge w:val="continue"/>
            <w:tcBorders>
              <w:tl2br w:val="nil"/>
              <w:tr2bl w:val="nil"/>
            </w:tcBorders>
            <w:noWrap w:val="0"/>
            <w:vAlign w:val="center"/>
          </w:tcPr>
          <w:p>
            <w:pPr>
              <w:spacing w:line="360" w:lineRule="exact"/>
              <w:jc w:val="center"/>
              <w:rPr>
                <w:rFonts w:hint="default" w:ascii="Times New Roman" w:hAnsi="Times New Roman" w:cs="Times New Roman"/>
                <w:b/>
                <w:bCs/>
                <w:sz w:val="21"/>
                <w:szCs w:val="21"/>
              </w:rPr>
            </w:pPr>
          </w:p>
        </w:tc>
        <w:tc>
          <w:tcPr>
            <w:tcW w:w="858" w:type="pct"/>
            <w:tcBorders>
              <w:tl2br w:val="nil"/>
              <w:tr2bl w:val="nil"/>
            </w:tcBorders>
            <w:noWrap w:val="0"/>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监测布点</w:t>
            </w:r>
          </w:p>
        </w:tc>
        <w:tc>
          <w:tcPr>
            <w:tcW w:w="3704" w:type="pct"/>
            <w:gridSpan w:val="2"/>
            <w:tcBorders>
              <w:tl2br w:val="nil"/>
              <w:tr2bl w:val="nil"/>
            </w:tcBorders>
            <w:noWrap w:val="0"/>
            <w:vAlign w:val="center"/>
          </w:tcPr>
          <w:p>
            <w:pPr>
              <w:spacing w:line="360" w:lineRule="exact"/>
              <w:jc w:val="center"/>
              <w:rPr>
                <w:rFonts w:hint="default" w:ascii="Times New Roman" w:hAnsi="Times New Roman" w:cs="Times New Roman"/>
                <w:sz w:val="21"/>
                <w:szCs w:val="21"/>
                <w:lang w:eastAsia="zh-CN"/>
              </w:rPr>
            </w:pPr>
            <w:r>
              <w:rPr>
                <w:rFonts w:hint="default" w:ascii="Times New Roman" w:hAnsi="Times New Roman" w:cs="Times New Roman"/>
                <w:sz w:val="21"/>
                <w:szCs w:val="21"/>
              </w:rPr>
              <w:t>厂界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6" w:type="pct"/>
            <w:vMerge w:val="continue"/>
            <w:tcBorders>
              <w:tl2br w:val="nil"/>
              <w:tr2bl w:val="nil"/>
            </w:tcBorders>
            <w:noWrap w:val="0"/>
            <w:vAlign w:val="center"/>
          </w:tcPr>
          <w:p>
            <w:pPr>
              <w:spacing w:line="360" w:lineRule="exact"/>
              <w:jc w:val="center"/>
              <w:rPr>
                <w:rFonts w:hint="default" w:ascii="Times New Roman" w:hAnsi="Times New Roman" w:cs="Times New Roman"/>
                <w:b/>
                <w:bCs/>
                <w:sz w:val="21"/>
                <w:szCs w:val="21"/>
              </w:rPr>
            </w:pPr>
          </w:p>
        </w:tc>
        <w:tc>
          <w:tcPr>
            <w:tcW w:w="858" w:type="pct"/>
            <w:tcBorders>
              <w:tl2br w:val="nil"/>
              <w:tr2bl w:val="nil"/>
            </w:tcBorders>
            <w:noWrap w:val="0"/>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监测周期与频率</w:t>
            </w:r>
          </w:p>
        </w:tc>
        <w:tc>
          <w:tcPr>
            <w:tcW w:w="3704" w:type="pct"/>
            <w:gridSpan w:val="2"/>
            <w:tcBorders>
              <w:tl2br w:val="nil"/>
              <w:tr2bl w:val="nil"/>
            </w:tcBorders>
            <w:noWrap w:val="0"/>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eastAsiaTheme="minorEastAsia"/>
                <w:sz w:val="21"/>
                <w:szCs w:val="21"/>
                <w:vertAlign w:val="baseline"/>
                <w:lang w:val="en-US" w:eastAsia="zh-CN"/>
              </w:rPr>
              <w:t>1次/季度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6" w:type="pct"/>
            <w:vMerge w:val="continue"/>
            <w:tcBorders>
              <w:tl2br w:val="nil"/>
              <w:tr2bl w:val="nil"/>
            </w:tcBorders>
            <w:noWrap w:val="0"/>
            <w:vAlign w:val="center"/>
          </w:tcPr>
          <w:p>
            <w:pPr>
              <w:spacing w:line="360" w:lineRule="exact"/>
              <w:jc w:val="center"/>
              <w:rPr>
                <w:rFonts w:hint="default" w:ascii="Times New Roman" w:hAnsi="Times New Roman" w:cs="Times New Roman"/>
                <w:b/>
                <w:bCs/>
                <w:sz w:val="21"/>
                <w:szCs w:val="21"/>
              </w:rPr>
            </w:pPr>
          </w:p>
        </w:tc>
        <w:tc>
          <w:tcPr>
            <w:tcW w:w="858" w:type="pct"/>
            <w:tcBorders>
              <w:tl2br w:val="nil"/>
              <w:tr2bl w:val="nil"/>
            </w:tcBorders>
            <w:noWrap w:val="0"/>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执行排放标准</w:t>
            </w:r>
          </w:p>
        </w:tc>
        <w:tc>
          <w:tcPr>
            <w:tcW w:w="3704" w:type="pct"/>
            <w:gridSpan w:val="2"/>
            <w:tcBorders>
              <w:tl2br w:val="nil"/>
              <w:tr2bl w:val="nil"/>
            </w:tcBorders>
            <w:noWrap w:val="0"/>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《工业企业厂界环境噪声排放标准》（GB 12348-2008）的3类标准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6" w:type="pct"/>
            <w:vMerge w:val="restart"/>
            <w:tcBorders>
              <w:tl2br w:val="nil"/>
              <w:tr2bl w:val="nil"/>
            </w:tcBorders>
            <w:noWrap w:val="0"/>
            <w:vAlign w:val="center"/>
          </w:tcPr>
          <w:p>
            <w:pPr>
              <w:spacing w:line="360" w:lineRule="exact"/>
              <w:jc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废水</w:t>
            </w:r>
          </w:p>
        </w:tc>
        <w:tc>
          <w:tcPr>
            <w:tcW w:w="1491" w:type="dxa"/>
            <w:tcBorders>
              <w:tl2br w:val="nil"/>
              <w:tr2bl w:val="nil"/>
            </w:tcBorders>
            <w:noWrap w:val="0"/>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监测项目</w:t>
            </w:r>
          </w:p>
        </w:tc>
        <w:tc>
          <w:tcPr>
            <w:tcW w:w="3704" w:type="pct"/>
            <w:gridSpan w:val="2"/>
            <w:tcBorders>
              <w:tl2br w:val="nil"/>
              <w:tr2bl w:val="nil"/>
            </w:tcBorders>
            <w:noWrap w:val="0"/>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pH、悬浮物、</w:t>
            </w:r>
            <w:r>
              <w:rPr>
                <w:rFonts w:hint="default" w:ascii="Times New Roman" w:hAnsi="Times New Roman" w:cs="Times New Roman"/>
                <w:color w:val="auto"/>
                <w:sz w:val="21"/>
                <w:szCs w:val="21"/>
                <w:highlight w:val="none"/>
                <w:lang w:val="en-US" w:eastAsia="zh-CN"/>
              </w:rPr>
              <w:t>五日生化需氧量、化学需氧量、氨氮、</w:t>
            </w:r>
            <w:r>
              <w:rPr>
                <w:rFonts w:hint="default" w:ascii="Times New Roman" w:hAnsi="Times New Roman" w:cs="Times New Roman"/>
                <w:color w:val="auto"/>
                <w:kern w:val="2"/>
                <w:sz w:val="21"/>
                <w:szCs w:val="21"/>
                <w:highlight w:val="none"/>
                <w:lang w:val="en-US" w:eastAsia="zh-CN" w:bidi="ar-SA"/>
              </w:rPr>
              <w:t>总磷、</w:t>
            </w:r>
            <w:r>
              <w:rPr>
                <w:rFonts w:hint="default" w:ascii="Times New Roman" w:hAnsi="Times New Roman" w:cs="Times New Roman"/>
                <w:color w:val="auto"/>
                <w:sz w:val="21"/>
                <w:szCs w:val="21"/>
                <w:highlight w:val="none"/>
                <w:lang w:eastAsia="zh-CN"/>
              </w:rPr>
              <w:t>总氮、</w:t>
            </w:r>
            <w:r>
              <w:rPr>
                <w:rFonts w:hint="default" w:ascii="Times New Roman" w:hAnsi="Times New Roman" w:cs="Times New Roman"/>
                <w:color w:val="auto"/>
                <w:sz w:val="21"/>
                <w:szCs w:val="21"/>
                <w:highlight w:val="none"/>
                <w:lang w:val="en-US" w:eastAsia="zh-CN"/>
              </w:rPr>
              <w:t>石油类、</w:t>
            </w:r>
            <w:r>
              <w:rPr>
                <w:rFonts w:hint="default" w:ascii="Times New Roman" w:hAnsi="Times New Roman" w:eastAsia="宋体" w:cs="Times New Roman"/>
                <w:color w:val="auto"/>
                <w:kern w:val="2"/>
                <w:sz w:val="21"/>
                <w:szCs w:val="21"/>
                <w:highlight w:val="none"/>
                <w:lang w:val="en-US" w:eastAsia="zh-CN" w:bidi="ar-SA"/>
              </w:rPr>
              <w:t>动植物油、全盐量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6" w:type="pct"/>
            <w:vMerge w:val="continue"/>
            <w:tcBorders>
              <w:tl2br w:val="nil"/>
              <w:tr2bl w:val="nil"/>
            </w:tcBorders>
            <w:noWrap w:val="0"/>
            <w:vAlign w:val="center"/>
          </w:tcPr>
          <w:p>
            <w:pPr>
              <w:spacing w:line="360" w:lineRule="exact"/>
              <w:jc w:val="center"/>
              <w:rPr>
                <w:rFonts w:hint="default" w:ascii="Times New Roman" w:hAnsi="Times New Roman" w:cs="Times New Roman"/>
                <w:b/>
                <w:bCs/>
                <w:sz w:val="21"/>
                <w:szCs w:val="21"/>
                <w:lang w:val="en-US" w:eastAsia="zh-CN"/>
              </w:rPr>
            </w:pPr>
          </w:p>
        </w:tc>
        <w:tc>
          <w:tcPr>
            <w:tcW w:w="1491" w:type="dxa"/>
            <w:tcBorders>
              <w:tl2br w:val="nil"/>
              <w:tr2bl w:val="nil"/>
            </w:tcBorders>
            <w:noWrap w:val="0"/>
            <w:vAlign w:val="center"/>
          </w:tcPr>
          <w:p>
            <w:pPr>
              <w:spacing w:line="360" w:lineRule="exact"/>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监测布点</w:t>
            </w:r>
          </w:p>
        </w:tc>
        <w:tc>
          <w:tcPr>
            <w:tcW w:w="3704" w:type="pct"/>
            <w:gridSpan w:val="2"/>
            <w:tcBorders>
              <w:tl2br w:val="nil"/>
              <w:tr2bl w:val="nil"/>
            </w:tcBorders>
            <w:noWrap w:val="0"/>
            <w:vAlign w:val="center"/>
          </w:tcPr>
          <w:p>
            <w:pPr>
              <w:spacing w:line="360" w:lineRule="exact"/>
              <w:jc w:val="center"/>
              <w:rPr>
                <w:rFonts w:hint="default" w:ascii="Times New Roman" w:hAnsi="Times New Roman" w:cs="Times New Roman"/>
                <w:sz w:val="21"/>
                <w:szCs w:val="21"/>
                <w:lang w:val="en-US" w:eastAsia="zh-CN"/>
              </w:rPr>
            </w:pPr>
            <w:r>
              <w:rPr>
                <w:rFonts w:hint="eastAsia" w:cs="Times New Roman"/>
                <w:color w:val="auto"/>
                <w:sz w:val="21"/>
                <w:szCs w:val="21"/>
                <w:highlight w:val="none"/>
                <w:lang w:val="en-US" w:eastAsia="zh-CN"/>
              </w:rPr>
              <w:t>污水排放口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6" w:type="pct"/>
            <w:vMerge w:val="continue"/>
            <w:tcBorders>
              <w:tl2br w:val="nil"/>
              <w:tr2bl w:val="nil"/>
            </w:tcBorders>
            <w:noWrap w:val="0"/>
            <w:vAlign w:val="center"/>
          </w:tcPr>
          <w:p>
            <w:pPr>
              <w:spacing w:line="360" w:lineRule="exact"/>
              <w:jc w:val="center"/>
              <w:rPr>
                <w:rFonts w:hint="default" w:ascii="Times New Roman" w:hAnsi="Times New Roman" w:cs="Times New Roman"/>
                <w:b/>
                <w:bCs/>
                <w:sz w:val="21"/>
                <w:szCs w:val="21"/>
              </w:rPr>
            </w:pPr>
          </w:p>
        </w:tc>
        <w:tc>
          <w:tcPr>
            <w:tcW w:w="1491" w:type="dxa"/>
            <w:tcBorders>
              <w:tl2br w:val="nil"/>
              <w:tr2bl w:val="nil"/>
            </w:tcBorders>
            <w:noWrap w:val="0"/>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监测周期与频率</w:t>
            </w:r>
          </w:p>
        </w:tc>
        <w:tc>
          <w:tcPr>
            <w:tcW w:w="3704" w:type="pct"/>
            <w:gridSpan w:val="2"/>
            <w:tcBorders>
              <w:tl2br w:val="nil"/>
              <w:tr2bl w:val="nil"/>
            </w:tcBorders>
            <w:noWrap w:val="0"/>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eastAsiaTheme="minorEastAsia"/>
                <w:sz w:val="21"/>
                <w:szCs w:val="21"/>
                <w:vertAlign w:val="baseline"/>
                <w:lang w:val="en-US" w:eastAsia="zh-CN"/>
              </w:rPr>
              <w:t>1次/</w:t>
            </w:r>
            <w:r>
              <w:rPr>
                <w:rFonts w:hint="eastAsia" w:ascii="Times New Roman" w:hAnsi="Times New Roman" w:cs="Times New Roman" w:eastAsiaTheme="minorEastAsia"/>
                <w:sz w:val="21"/>
                <w:szCs w:val="21"/>
                <w:vertAlign w:val="baseline"/>
                <w:lang w:val="en-US" w:eastAsia="zh-CN"/>
              </w:rPr>
              <w:t>季度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6" w:type="pct"/>
            <w:vMerge w:val="restart"/>
            <w:tcBorders>
              <w:tl2br w:val="nil"/>
              <w:tr2bl w:val="nil"/>
            </w:tcBorders>
            <w:noWrap w:val="0"/>
            <w:vAlign w:val="center"/>
          </w:tcPr>
          <w:p>
            <w:pPr>
              <w:spacing w:line="36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固体</w:t>
            </w:r>
          </w:p>
          <w:p>
            <w:pPr>
              <w:spacing w:line="360" w:lineRule="exact"/>
              <w:jc w:val="center"/>
              <w:rPr>
                <w:rFonts w:hint="default" w:ascii="Times New Roman" w:hAnsi="Times New Roman" w:cs="Times New Roman"/>
                <w:b/>
                <w:bCs/>
                <w:sz w:val="21"/>
                <w:szCs w:val="21"/>
              </w:rPr>
            </w:pPr>
            <w:r>
              <w:rPr>
                <w:rFonts w:hint="default" w:ascii="Times New Roman" w:hAnsi="Times New Roman" w:cs="Times New Roman"/>
                <w:b/>
                <w:bCs/>
                <w:sz w:val="21"/>
                <w:szCs w:val="21"/>
              </w:rPr>
              <w:t>废物</w:t>
            </w:r>
          </w:p>
        </w:tc>
        <w:tc>
          <w:tcPr>
            <w:tcW w:w="858" w:type="pct"/>
            <w:tcBorders>
              <w:tl2br w:val="nil"/>
              <w:tr2bl w:val="nil"/>
            </w:tcBorders>
            <w:noWrap w:val="0"/>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监测项目</w:t>
            </w:r>
          </w:p>
        </w:tc>
        <w:tc>
          <w:tcPr>
            <w:tcW w:w="3704" w:type="pct"/>
            <w:gridSpan w:val="2"/>
            <w:tcBorders>
              <w:tl2br w:val="nil"/>
              <w:tr2bl w:val="nil"/>
            </w:tcBorders>
            <w:noWrap w:val="0"/>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统计厂内固体废物名称、产生量、处理方式（去向）等，按照生产固废和生活垃圾分类统计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6" w:type="pct"/>
            <w:vMerge w:val="continue"/>
            <w:tcBorders>
              <w:tl2br w:val="nil"/>
              <w:tr2bl w:val="nil"/>
            </w:tcBorders>
            <w:noWrap w:val="0"/>
            <w:vAlign w:val="center"/>
          </w:tcPr>
          <w:p>
            <w:pPr>
              <w:spacing w:line="360" w:lineRule="exact"/>
              <w:jc w:val="center"/>
              <w:rPr>
                <w:rFonts w:hint="default" w:ascii="Times New Roman" w:hAnsi="Times New Roman" w:cs="Times New Roman"/>
                <w:sz w:val="21"/>
                <w:szCs w:val="21"/>
              </w:rPr>
            </w:pPr>
          </w:p>
        </w:tc>
        <w:tc>
          <w:tcPr>
            <w:tcW w:w="858" w:type="pct"/>
            <w:tcBorders>
              <w:tl2br w:val="nil"/>
              <w:tr2bl w:val="nil"/>
            </w:tcBorders>
            <w:noWrap w:val="0"/>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监测周期与频率</w:t>
            </w:r>
          </w:p>
        </w:tc>
        <w:tc>
          <w:tcPr>
            <w:tcW w:w="3704" w:type="pct"/>
            <w:gridSpan w:val="2"/>
            <w:tcBorders>
              <w:tl2br w:val="nil"/>
              <w:tr2bl w:val="nil"/>
            </w:tcBorders>
            <w:noWrap w:val="0"/>
            <w:vAlign w:val="center"/>
          </w:tcPr>
          <w:p>
            <w:pPr>
              <w:spacing w:line="360" w:lineRule="exact"/>
              <w:jc w:val="center"/>
              <w:rPr>
                <w:rFonts w:hint="default" w:ascii="Times New Roman" w:hAnsi="Times New Roman" w:cs="Times New Roman"/>
                <w:sz w:val="21"/>
                <w:szCs w:val="21"/>
              </w:rPr>
            </w:pPr>
            <w:r>
              <w:rPr>
                <w:rFonts w:hint="default" w:ascii="Times New Roman" w:hAnsi="Times New Roman" w:cs="Times New Roman"/>
                <w:sz w:val="21"/>
                <w:szCs w:val="21"/>
              </w:rPr>
              <w:t>每月统计一次</w:t>
            </w:r>
          </w:p>
        </w:tc>
      </w:tr>
    </w:tbl>
    <w:p>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配套措施落实情况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（1）区域削减及淘汰落后产能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本公司不涉及区域削减污染物总量措施，所有生产设备中没有需淘汰的落后产能设备。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（2）防护距离控制及居民搬迁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本项目卫生防护距离内无环境敏感点。</w:t>
      </w:r>
    </w:p>
    <w:p>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2.3 </w:t>
      </w:r>
      <w:r>
        <w:rPr>
          <w:rFonts w:hint="default" w:ascii="Times New Roman" w:hAnsi="Times New Roman" w:cs="Times New Roman" w:eastAsiaTheme="minorEastAsia"/>
          <w:b/>
          <w:sz w:val="28"/>
          <w:szCs w:val="28"/>
          <w:lang w:val="en-US" w:eastAsia="zh-CN"/>
        </w:rPr>
        <w:t>其他措施落实情况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本项目不涉及林地、珍稀动物保护、区域环境整治、相关外围工程建设情况等。</w:t>
      </w:r>
    </w:p>
    <w:p>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3</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整改工作情况</w:t>
      </w:r>
      <w:r>
        <w:rPr>
          <w:rFonts w:hint="eastAsia" w:ascii="Times New Roman" w:hAnsi="Times New Roman" w:cs="Times New Roman" w:eastAsiaTheme="minor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w:t>
      </w:r>
      <w:r>
        <w:rPr>
          <w:rFonts w:hint="default" w:ascii="Times New Roman" w:hAnsi="Times New Roman" w:cs="Times New Roman" w:eastAsiaTheme="minorEastAsia"/>
          <w:sz w:val="24"/>
          <w:szCs w:val="24"/>
          <w:lang w:val="en-US" w:eastAsia="zh-CN"/>
        </w:rPr>
        <w:t>验收现场检查会</w:t>
      </w:r>
      <w:r>
        <w:rPr>
          <w:rFonts w:hint="eastAsia" w:ascii="Times New Roman" w:hAnsi="Times New Roman" w:cs="Times New Roman" w:eastAsiaTheme="minorEastAsia"/>
          <w:sz w:val="24"/>
          <w:szCs w:val="24"/>
          <w:lang w:val="en-US" w:eastAsia="zh-CN"/>
        </w:rPr>
        <w:t>专家提出的整改意见及整改措施如下：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lang w:val="en-US" w:eastAsia="zh-CN"/>
        </w:rPr>
        <w:t>生产过程中严格落实制定的环境风险防范措施，及环境保护管理计划</w:t>
      </w:r>
      <w:r>
        <w:rPr>
          <w:rFonts w:hint="eastAsia" w:ascii="Times New Roman" w:hAnsi="Times New Roman" w:cs="Times New Roman" w:eastAsia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w:t>
      </w:r>
      <w:r>
        <w:rPr>
          <w:rFonts w:hint="default" w:ascii="Times New Roman" w:hAnsi="Times New Roman" w:cs="Times New Roman" w:eastAsiaTheme="minorEastAsia"/>
          <w:sz w:val="24"/>
          <w:szCs w:val="24"/>
          <w:u w:val="single"/>
          <w:lang w:val="en-US" w:eastAsia="zh-CN"/>
        </w:rPr>
        <w:t>生产过程中</w:t>
      </w:r>
      <w:r>
        <w:rPr>
          <w:rFonts w:hint="eastAsia" w:ascii="Times New Roman" w:hAnsi="Times New Roman" w:cs="Times New Roman" w:eastAsiaTheme="minorEastAsia"/>
          <w:sz w:val="24"/>
          <w:szCs w:val="24"/>
          <w:u w:val="single"/>
          <w:lang w:val="en-US" w:eastAsia="zh-CN"/>
        </w:rPr>
        <w:t>已</w:t>
      </w:r>
      <w:r>
        <w:rPr>
          <w:rFonts w:hint="default" w:ascii="Times New Roman" w:hAnsi="Times New Roman" w:cs="Times New Roman" w:eastAsiaTheme="minorEastAsia"/>
          <w:sz w:val="24"/>
          <w:szCs w:val="24"/>
          <w:u w:val="single"/>
          <w:lang w:val="en-US" w:eastAsia="zh-CN"/>
        </w:rPr>
        <w:t>严格落实制定的环境风险防范措施，</w:t>
      </w:r>
      <w:r>
        <w:rPr>
          <w:rFonts w:hint="eastAsia" w:ascii="Times New Roman" w:hAnsi="Times New Roman" w:cs="Times New Roman" w:eastAsiaTheme="minorEastAsia"/>
          <w:sz w:val="24"/>
          <w:szCs w:val="24"/>
          <w:u w:val="single"/>
          <w:lang w:val="en-US" w:eastAsia="zh-CN"/>
        </w:rPr>
        <w:t>并已制定公司</w:t>
      </w:r>
      <w:r>
        <w:rPr>
          <w:rFonts w:hint="default" w:ascii="Times New Roman" w:hAnsi="Times New Roman" w:cs="Times New Roman" w:eastAsiaTheme="minorEastAsia"/>
          <w:sz w:val="24"/>
          <w:szCs w:val="24"/>
          <w:u w:val="single"/>
          <w:lang w:val="en-US" w:eastAsia="zh-CN"/>
        </w:rPr>
        <w:t>环境保护管理计划</w:t>
      </w:r>
      <w:r>
        <w:rPr>
          <w:rFonts w:hint="eastAsia" w:ascii="Times New Roman" w:hAnsi="Times New Roman" w:cs="Times New Roman" w:eastAsiaTheme="minorEastAsia"/>
          <w:sz w:val="24"/>
          <w:szCs w:val="24"/>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按照已申领的排污许可证进行自行监测，完善监测手段或委托有资质单位定期监测。</w:t>
      </w:r>
    </w:p>
    <w:p>
      <w:pPr>
        <w:pStyle w:val="2"/>
        <w:spacing w:line="360" w:lineRule="auto"/>
        <w:ind w:firstLine="480" w:firstLineChars="200"/>
        <w:jc w:val="both"/>
        <w:rPr>
          <w:rFonts w:hint="eastAsia" w:ascii="Times New Roman" w:hAnsi="Times New Roman" w:eastAsia="宋体" w:cs="Times New Roman"/>
          <w:color w:val="auto"/>
          <w:u w:val="single"/>
          <w:lang w:val="en-US" w:eastAsia="zh-CN"/>
        </w:rPr>
      </w:pPr>
      <w:r>
        <w:rPr>
          <w:rFonts w:hint="eastAsia" w:ascii="Times New Roman" w:hAnsi="Times New Roman" w:eastAsia="宋体" w:cs="Times New Roman"/>
          <w:color w:val="auto"/>
          <w:u w:val="single"/>
          <w:lang w:val="en-US" w:eastAsia="zh-CN"/>
        </w:rPr>
        <w:t>整改/修改情况：公司严格</w:t>
      </w:r>
      <w:r>
        <w:rPr>
          <w:rFonts w:hint="default" w:ascii="Times New Roman" w:hAnsi="Times New Roman" w:eastAsia="宋体" w:cs="Times New Roman"/>
          <w:color w:val="auto"/>
          <w:u w:val="single"/>
          <w:lang w:val="en-US" w:eastAsia="zh-CN"/>
        </w:rPr>
        <w:t>按照已申领的排污许可证进行自行监测，</w:t>
      </w:r>
      <w:r>
        <w:rPr>
          <w:rFonts w:hint="eastAsia" w:ascii="Times New Roman" w:hAnsi="Times New Roman" w:eastAsia="宋体" w:cs="Times New Roman"/>
          <w:color w:val="auto"/>
          <w:u w:val="single"/>
          <w:lang w:val="en-US" w:eastAsia="zh-CN"/>
        </w:rPr>
        <w:t>并</w:t>
      </w:r>
      <w:r>
        <w:rPr>
          <w:rFonts w:hint="default" w:ascii="Times New Roman" w:hAnsi="Times New Roman" w:eastAsia="宋体" w:cs="Times New Roman"/>
          <w:color w:val="auto"/>
          <w:u w:val="single"/>
          <w:lang w:val="en-US" w:eastAsia="zh-CN"/>
        </w:rPr>
        <w:t>委托有资质单位定期监测</w:t>
      </w:r>
      <w:r>
        <w:rPr>
          <w:rFonts w:hint="eastAsia" w:ascii="Times New Roman" w:hAnsi="Times New Roman" w:eastAsia="宋体" w:cs="Times New Roman"/>
          <w:color w:val="auto"/>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（3）加强固废管理，环保设备定期维护。</w:t>
      </w:r>
    </w:p>
    <w:p>
      <w:pPr>
        <w:pStyle w:val="2"/>
        <w:spacing w:line="360" w:lineRule="auto"/>
        <w:ind w:firstLine="480" w:firstLineChars="200"/>
        <w:jc w:val="both"/>
        <w:rPr>
          <w:rFonts w:hint="default" w:ascii="Times New Roman" w:hAnsi="Times New Roman" w:eastAsia="宋体" w:cs="Times New Roman"/>
          <w:color w:val="auto"/>
          <w:u w:val="single"/>
          <w:lang w:val="en-US" w:eastAsia="zh-CN"/>
        </w:rPr>
      </w:pPr>
      <w:bookmarkStart w:id="0" w:name="_GoBack"/>
      <w:r>
        <w:rPr>
          <w:rFonts w:hint="eastAsia" w:ascii="Times New Roman" w:hAnsi="Times New Roman" w:eastAsia="宋体" w:cs="Times New Roman"/>
          <w:color w:val="auto"/>
          <w:u w:val="single"/>
          <w:lang w:val="en-US" w:eastAsia="zh-CN"/>
        </w:rPr>
        <w:t>整改/修改情况：公司已加强固废管理，并安排维修人员定期维护环保设备。</w:t>
      </w:r>
    </w:p>
    <w:bookmarkEnd w:id="0"/>
    <w:p>
      <w:pPr>
        <w:pStyle w:val="2"/>
        <w:rPr>
          <w:rFonts w:hint="default"/>
          <w:lang w:val="en-US" w:eastAsia="zh-CN"/>
        </w:rPr>
      </w:pPr>
    </w:p>
    <w:sectPr>
      <w:footerReference r:id="rId3" w:type="default"/>
      <w:pgSz w:w="11906" w:h="16838"/>
      <w:pgMar w:top="1474" w:right="1588" w:bottom="113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Calibri">
    <w:panose1 w:val="020F0502020204030204"/>
    <w:charset w:val="86"/>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hNTdiY2RhYjQ3YjVlZDI1MjA0ZTVjNjliMWE4OW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4EB11DB"/>
    <w:rsid w:val="052102F4"/>
    <w:rsid w:val="053F0C01"/>
    <w:rsid w:val="08981135"/>
    <w:rsid w:val="0ADB5E7A"/>
    <w:rsid w:val="0B472137"/>
    <w:rsid w:val="0C8223EB"/>
    <w:rsid w:val="0D0001DD"/>
    <w:rsid w:val="0FFA3C1C"/>
    <w:rsid w:val="10A2678D"/>
    <w:rsid w:val="11904838"/>
    <w:rsid w:val="13763F01"/>
    <w:rsid w:val="140B7F29"/>
    <w:rsid w:val="149F2FE4"/>
    <w:rsid w:val="16154F53"/>
    <w:rsid w:val="17B71A49"/>
    <w:rsid w:val="182F2017"/>
    <w:rsid w:val="19A12421"/>
    <w:rsid w:val="1AAE2376"/>
    <w:rsid w:val="1B1851B0"/>
    <w:rsid w:val="1F7E33E3"/>
    <w:rsid w:val="1FB97650"/>
    <w:rsid w:val="20C33720"/>
    <w:rsid w:val="218C6A2F"/>
    <w:rsid w:val="22B36145"/>
    <w:rsid w:val="24657C98"/>
    <w:rsid w:val="24B403E6"/>
    <w:rsid w:val="24C100AF"/>
    <w:rsid w:val="257638ED"/>
    <w:rsid w:val="26F95E73"/>
    <w:rsid w:val="270B5883"/>
    <w:rsid w:val="288C09DE"/>
    <w:rsid w:val="2ABB7EB6"/>
    <w:rsid w:val="2CB05936"/>
    <w:rsid w:val="2D3A16A4"/>
    <w:rsid w:val="2F1728B1"/>
    <w:rsid w:val="30674F5B"/>
    <w:rsid w:val="30C916BD"/>
    <w:rsid w:val="35475771"/>
    <w:rsid w:val="3BD50FCD"/>
    <w:rsid w:val="3C1D466B"/>
    <w:rsid w:val="3DF12C27"/>
    <w:rsid w:val="3F7722E4"/>
    <w:rsid w:val="405745EF"/>
    <w:rsid w:val="42A64878"/>
    <w:rsid w:val="446F2B9F"/>
    <w:rsid w:val="44756DC2"/>
    <w:rsid w:val="44CD1674"/>
    <w:rsid w:val="452C453B"/>
    <w:rsid w:val="45B237C6"/>
    <w:rsid w:val="4BE96317"/>
    <w:rsid w:val="4D5558B4"/>
    <w:rsid w:val="4EF37070"/>
    <w:rsid w:val="52B018E5"/>
    <w:rsid w:val="536E48F6"/>
    <w:rsid w:val="53DD36D8"/>
    <w:rsid w:val="54E91C64"/>
    <w:rsid w:val="54EE0658"/>
    <w:rsid w:val="550429A6"/>
    <w:rsid w:val="562954F0"/>
    <w:rsid w:val="59F1740B"/>
    <w:rsid w:val="5A0C3D15"/>
    <w:rsid w:val="5C084E7C"/>
    <w:rsid w:val="60A878DC"/>
    <w:rsid w:val="60B82B42"/>
    <w:rsid w:val="62536A85"/>
    <w:rsid w:val="63AE1EC8"/>
    <w:rsid w:val="641B4FF7"/>
    <w:rsid w:val="649460BF"/>
    <w:rsid w:val="65847385"/>
    <w:rsid w:val="680B5B3B"/>
    <w:rsid w:val="68D4001D"/>
    <w:rsid w:val="6A4662AD"/>
    <w:rsid w:val="6A7038C2"/>
    <w:rsid w:val="6BCE41FB"/>
    <w:rsid w:val="6C830396"/>
    <w:rsid w:val="6C9227DE"/>
    <w:rsid w:val="6F5F79E8"/>
    <w:rsid w:val="71BE777B"/>
    <w:rsid w:val="73974727"/>
    <w:rsid w:val="75926377"/>
    <w:rsid w:val="7696248B"/>
    <w:rsid w:val="79425628"/>
    <w:rsid w:val="7A2B6C5A"/>
    <w:rsid w:val="7ACF34CF"/>
    <w:rsid w:val="7B8E7E4C"/>
    <w:rsid w:val="7B910714"/>
    <w:rsid w:val="7D422132"/>
    <w:rsid w:val="7EAB7F69"/>
    <w:rsid w:val="7ECC448D"/>
    <w:rsid w:val="7F1135E0"/>
    <w:rsid w:val="7F487FE3"/>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240" w:lineRule="auto"/>
      <w:outlineLvl w:val="0"/>
    </w:pPr>
    <w:rPr>
      <w:rFonts w:ascii="Times New Roman" w:hAnsi="Times New Roman" w:eastAsia="楷体"/>
      <w:b/>
      <w:bCs/>
      <w:kern w:val="44"/>
      <w:sz w:val="24"/>
      <w:szCs w:val="44"/>
    </w:rPr>
  </w:style>
  <w:style w:type="paragraph" w:styleId="5">
    <w:name w:val="heading 2"/>
    <w:basedOn w:val="1"/>
    <w:next w:val="1"/>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rPr>
      <w:rFonts w:ascii="宋体" w:hAnsi="Courier New"/>
    </w:rPr>
  </w:style>
  <w:style w:type="paragraph" w:styleId="6">
    <w:name w:val="annotation text"/>
    <w:basedOn w:val="1"/>
    <w:link w:val="34"/>
    <w:qFormat/>
    <w:uiPriority w:val="0"/>
    <w:pPr>
      <w:jc w:val="left"/>
    </w:pPr>
    <w:rPr>
      <w:rFonts w:ascii="Times New Roman" w:hAnsi="Times New Roman"/>
      <w:szCs w:val="20"/>
    </w:rPr>
  </w:style>
  <w:style w:type="paragraph" w:styleId="7">
    <w:name w:val="Body Text"/>
    <w:basedOn w:val="1"/>
    <w:next w:val="8"/>
    <w:link w:val="32"/>
    <w:qFormat/>
    <w:uiPriority w:val="0"/>
    <w:pPr>
      <w:spacing w:after="120"/>
    </w:pPr>
    <w:rPr>
      <w:rFonts w:ascii="Times New Roman" w:hAnsi="Times New Roman"/>
      <w:szCs w:val="20"/>
    </w:rPr>
  </w:style>
  <w:style w:type="paragraph" w:customStyle="1" w:styleId="8">
    <w:name w:val="Date1"/>
    <w:basedOn w:val="1"/>
    <w:next w:val="1"/>
    <w:qFormat/>
    <w:uiPriority w:val="0"/>
    <w:rPr>
      <w:szCs w:val="20"/>
    </w:rPr>
  </w:style>
  <w:style w:type="paragraph" w:styleId="9">
    <w:name w:val="Body Text Indent"/>
    <w:basedOn w:val="1"/>
    <w:next w:val="10"/>
    <w:unhideWhenUsed/>
    <w:qFormat/>
    <w:uiPriority w:val="99"/>
    <w:pPr>
      <w:ind w:left="420" w:leftChars="200"/>
    </w:pPr>
  </w:style>
  <w:style w:type="paragraph" w:customStyle="1" w:styleId="10">
    <w:name w:val="样式 正文文本缩进 + 行距: 1.5 倍行距"/>
    <w:basedOn w:val="1"/>
    <w:qFormat/>
    <w:uiPriority w:val="0"/>
    <w:pPr>
      <w:spacing w:after="120" w:line="360" w:lineRule="auto"/>
      <w:ind w:left="90" w:leftChars="32" w:firstLine="560" w:firstLineChars="200"/>
    </w:pPr>
    <w:rPr>
      <w:rFonts w:cs="宋体"/>
    </w:rPr>
  </w:style>
  <w:style w:type="paragraph" w:styleId="11">
    <w:name w:val="Plain Text"/>
    <w:basedOn w:val="1"/>
    <w:next w:val="9"/>
    <w:qFormat/>
    <w:uiPriority w:val="0"/>
    <w:rPr>
      <w:rFonts w:ascii="宋体" w:hAnsi="Courier New" w:cs="Courier New"/>
      <w:szCs w:val="21"/>
    </w:rPr>
  </w:style>
  <w:style w:type="paragraph" w:styleId="12">
    <w:name w:val="Balloon Text"/>
    <w:basedOn w:val="1"/>
    <w:link w:val="28"/>
    <w:semiHidden/>
    <w:unhideWhenUsed/>
    <w:qFormat/>
    <w:uiPriority w:val="99"/>
    <w:rPr>
      <w:sz w:val="18"/>
      <w:szCs w:val="18"/>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spacing w:after="120"/>
      <w:ind w:left="420" w:leftChars="200"/>
    </w:pPr>
    <w:rPr>
      <w:sz w:val="16"/>
      <w:szCs w:val="16"/>
    </w:r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7">
    <w:name w:val="Body Text First Indent 2"/>
    <w:basedOn w:val="9"/>
    <w:next w:val="1"/>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qFormat/>
    <w:uiPriority w:val="0"/>
    <w:rPr>
      <w:sz w:val="21"/>
      <w:szCs w:val="21"/>
    </w:rPr>
  </w:style>
  <w:style w:type="paragraph" w:customStyle="1" w:styleId="22">
    <w:name w:val="Body Text First Indent 21"/>
    <w:basedOn w:val="23"/>
    <w:next w:val="2"/>
    <w:qFormat/>
    <w:uiPriority w:val="0"/>
    <w:pPr>
      <w:tabs>
        <w:tab w:val="left" w:pos="6615"/>
      </w:tabs>
      <w:ind w:firstLine="200"/>
    </w:pPr>
  </w:style>
  <w:style w:type="paragraph" w:customStyle="1" w:styleId="23">
    <w:name w:val="Body Text Indent1"/>
    <w:basedOn w:val="1"/>
    <w:next w:val="24"/>
    <w:qFormat/>
    <w:uiPriority w:val="0"/>
    <w:pPr>
      <w:ind w:firstLine="480" w:firstLineChars="200"/>
    </w:pPr>
    <w:rPr>
      <w:sz w:val="24"/>
    </w:rPr>
  </w:style>
  <w:style w:type="paragraph" w:customStyle="1" w:styleId="24">
    <w:name w:val="Body Text First Indent1"/>
    <w:basedOn w:val="7"/>
    <w:qFormat/>
    <w:uiPriority w:val="0"/>
    <w:pPr>
      <w:spacing w:after="120"/>
      <w:ind w:firstLine="420" w:firstLineChars="100"/>
    </w:pPr>
    <w:rPr>
      <w:sz w:val="21"/>
    </w:rPr>
  </w:style>
  <w:style w:type="paragraph" w:customStyle="1" w:styleId="25">
    <w:name w:val="li_正文"/>
    <w:basedOn w:val="1"/>
    <w:qFormat/>
    <w:uiPriority w:val="0"/>
    <w:pPr>
      <w:ind w:firstLine="200" w:firstLineChars="200"/>
      <w:jc w:val="left"/>
    </w:pPr>
    <w:rPr>
      <w:sz w:val="28"/>
      <w:szCs w:val="28"/>
    </w:rPr>
  </w:style>
  <w:style w:type="character" w:customStyle="1" w:styleId="26">
    <w:name w:val="页眉 Char"/>
    <w:basedOn w:val="20"/>
    <w:link w:val="14"/>
    <w:qFormat/>
    <w:uiPriority w:val="99"/>
    <w:rPr>
      <w:sz w:val="18"/>
      <w:szCs w:val="18"/>
    </w:rPr>
  </w:style>
  <w:style w:type="character" w:customStyle="1" w:styleId="27">
    <w:name w:val="页脚 Char"/>
    <w:basedOn w:val="20"/>
    <w:link w:val="13"/>
    <w:qFormat/>
    <w:uiPriority w:val="99"/>
    <w:rPr>
      <w:sz w:val="18"/>
      <w:szCs w:val="18"/>
    </w:rPr>
  </w:style>
  <w:style w:type="character" w:customStyle="1" w:styleId="28">
    <w:name w:val="批注框文本 Char"/>
    <w:basedOn w:val="20"/>
    <w:link w:val="12"/>
    <w:semiHidden/>
    <w:qFormat/>
    <w:uiPriority w:val="99"/>
    <w:rPr>
      <w:rFonts w:ascii="Calibri" w:hAnsi="Calibri" w:eastAsia="宋体" w:cs="Times New Roman"/>
      <w:kern w:val="2"/>
      <w:sz w:val="18"/>
      <w:szCs w:val="18"/>
    </w:rPr>
  </w:style>
  <w:style w:type="paragraph" w:customStyle="1" w:styleId="29">
    <w:name w:val="CM24"/>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30">
    <w:name w:val="List Paragraph"/>
    <w:basedOn w:val="1"/>
    <w:unhideWhenUsed/>
    <w:qFormat/>
    <w:uiPriority w:val="99"/>
    <w:pPr>
      <w:ind w:firstLine="420" w:firstLineChars="200"/>
    </w:pPr>
  </w:style>
  <w:style w:type="paragraph" w:customStyle="1" w:styleId="31">
    <w:name w:val="正1"/>
    <w:basedOn w:val="1"/>
    <w:link w:val="36"/>
    <w:qFormat/>
    <w:uiPriority w:val="0"/>
    <w:pPr>
      <w:spacing w:line="360" w:lineRule="auto"/>
      <w:ind w:firstLine="200" w:firstLineChars="200"/>
      <w:jc w:val="left"/>
    </w:pPr>
    <w:rPr>
      <w:rFonts w:eastAsia="楷体_GB2312"/>
      <w:sz w:val="24"/>
    </w:rPr>
  </w:style>
  <w:style w:type="character" w:customStyle="1" w:styleId="32">
    <w:name w:val="正文文本 Char"/>
    <w:basedOn w:val="20"/>
    <w:link w:val="7"/>
    <w:qFormat/>
    <w:uiPriority w:val="0"/>
    <w:rPr>
      <w:kern w:val="2"/>
      <w:sz w:val="21"/>
    </w:rPr>
  </w:style>
  <w:style w:type="paragraph" w:customStyle="1" w:styleId="33">
    <w:name w:val="Char Char Char Char Char Char Char Char Char Char"/>
    <w:basedOn w:val="1"/>
    <w:qFormat/>
    <w:uiPriority w:val="0"/>
    <w:pPr>
      <w:spacing w:line="240" w:lineRule="exact"/>
      <w:ind w:firstLine="200" w:firstLineChars="200"/>
    </w:pPr>
    <w:rPr>
      <w:rFonts w:ascii="宋体" w:hAnsi="宋体" w:cs="宋体"/>
      <w:sz w:val="24"/>
    </w:rPr>
  </w:style>
  <w:style w:type="character" w:customStyle="1" w:styleId="34">
    <w:name w:val="批注文字 Char"/>
    <w:basedOn w:val="20"/>
    <w:link w:val="6"/>
    <w:qFormat/>
    <w:uiPriority w:val="0"/>
    <w:rPr>
      <w:kern w:val="2"/>
      <w:sz w:val="21"/>
    </w:rPr>
  </w:style>
  <w:style w:type="paragraph" w:customStyle="1" w:styleId="35">
    <w:name w:val="ZW正文"/>
    <w:basedOn w:val="1"/>
    <w:qFormat/>
    <w:uiPriority w:val="0"/>
    <w:pPr>
      <w:spacing w:line="500" w:lineRule="exact"/>
      <w:ind w:firstLine="480" w:firstLineChars="200"/>
    </w:pPr>
    <w:rPr>
      <w:rFonts w:ascii="Times New Roman" w:hAnsi="Times New Roman"/>
      <w:sz w:val="24"/>
      <w:szCs w:val="20"/>
    </w:rPr>
  </w:style>
  <w:style w:type="character" w:customStyle="1" w:styleId="36">
    <w:name w:val="正1 Char"/>
    <w:link w:val="31"/>
    <w:qFormat/>
    <w:uiPriority w:val="0"/>
    <w:rPr>
      <w:rFonts w:ascii="Calibri" w:hAnsi="Calibri" w:eastAsia="楷体_GB2312"/>
      <w:kern w:val="2"/>
      <w:sz w:val="24"/>
      <w:szCs w:val="24"/>
    </w:rPr>
  </w:style>
  <w:style w:type="paragraph" w:customStyle="1" w:styleId="37">
    <w:name w:val="CM25"/>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8">
    <w:name w:val="列出段落1"/>
    <w:basedOn w:val="1"/>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9">
    <w:name w:val="NormalCharacter"/>
    <w:semiHidden/>
    <w:qFormat/>
    <w:uiPriority w:val="0"/>
  </w:style>
  <w:style w:type="paragraph" w:customStyle="1" w:styleId="40">
    <w:name w:val="Normal (Web)"/>
    <w:basedOn w:val="1"/>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41">
    <w:name w:val="样式1"/>
    <w:basedOn w:val="1"/>
    <w:qFormat/>
    <w:uiPriority w:val="0"/>
    <w:pPr>
      <w:adjustRightInd/>
      <w:snapToGrid/>
      <w:spacing w:after="0" w:line="360" w:lineRule="auto"/>
      <w:jc w:val="center"/>
    </w:pPr>
    <w:rPr>
      <w:rFonts w:ascii="仿宋_GB2312" w:hAnsi="Times New Roman" w:eastAsia="黑体" w:cs="Times New Roman"/>
      <w:b/>
      <w:kern w:val="2"/>
      <w:sz w:val="32"/>
      <w:szCs w:val="20"/>
    </w:rPr>
  </w:style>
  <w:style w:type="paragraph" w:customStyle="1" w:styleId="42">
    <w:name w:val="我的正文"/>
    <w:basedOn w:val="1"/>
    <w:qFormat/>
    <w:uiPriority w:val="0"/>
    <w:pPr>
      <w:adjustRightInd w:val="0"/>
      <w:snapToGrid w:val="0"/>
      <w:spacing w:before="240" w:after="120" w:line="360" w:lineRule="auto"/>
      <w:ind w:firstLine="480" w:firstLineChars="200"/>
    </w:pPr>
    <w:rPr>
      <w:snapToGrid w:val="0"/>
      <w:sz w:val="24"/>
    </w:rPr>
  </w:style>
  <w:style w:type="paragraph" w:customStyle="1" w:styleId="43">
    <w:name w:val="TB表格内容"/>
    <w:basedOn w:val="1"/>
    <w:qFormat/>
    <w:uiPriority w:val="0"/>
    <w:pPr>
      <w:spacing w:line="360" w:lineRule="exact"/>
      <w:jc w:val="center"/>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2747</Words>
  <Characters>2886</Characters>
  <Lines>18</Lines>
  <Paragraphs>5</Paragraphs>
  <TotalTime>0</TotalTime>
  <ScaleCrop>false</ScaleCrop>
  <LinksUpToDate>false</LinksUpToDate>
  <CharactersWithSpaces>2929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只若初见</cp:lastModifiedBy>
  <cp:lastPrinted>2019-02-26T02:51:00Z</cp:lastPrinted>
  <dcterms:modified xsi:type="dcterms:W3CDTF">2023-11-27T06:07:26Z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DAFD249D54E7440C822FD09DA75CBC3C</vt:lpwstr>
  </property>
</Properties>
</file>