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281" w:firstLineChars="100"/>
        <w:jc w:val="center"/>
        <w:rPr>
          <w:rFonts w:hint="eastAsia" w:ascii="Times New Roman" w:hAnsi="Times New Roman" w:eastAsia="宋体" w:cs="Times New Roman"/>
          <w:color w:val="auto"/>
          <w:lang w:val="en-US" w:eastAsia="zh-CN"/>
        </w:rPr>
      </w:pPr>
      <w:bookmarkStart w:id="0" w:name="_Toc20091"/>
      <w:r>
        <w:rPr>
          <w:rFonts w:hint="eastAsia" w:ascii="Times New Roman" w:hAnsi="Times New Roman" w:eastAsia="宋体" w:cs="Times New Roman"/>
          <w:color w:val="auto"/>
          <w:lang w:val="en-US" w:eastAsia="zh-CN"/>
        </w:rPr>
        <w:t>茌平县人民医院配套设施建设项目</w:t>
      </w:r>
      <w:bookmarkEnd w:id="0"/>
      <w:bookmarkStart w:id="1" w:name="_Toc30935"/>
    </w:p>
    <w:p>
      <w:pPr>
        <w:pStyle w:val="4"/>
        <w:ind w:firstLine="281" w:firstLineChars="100"/>
        <w:jc w:val="center"/>
        <w:rPr>
          <w:rFonts w:hint="default" w:ascii="Times New Roman" w:hAnsi="Times New Roman" w:eastAsia="宋体" w:cs="Times New Roman"/>
          <w:color w:val="auto"/>
          <w:lang w:val="en-US" w:eastAsia="zh-CN"/>
        </w:rPr>
      </w:pPr>
      <w:bookmarkStart w:id="2" w:name="_Toc26808"/>
      <w:r>
        <w:rPr>
          <w:rFonts w:hint="default" w:ascii="Times New Roman" w:hAnsi="Times New Roman" w:eastAsia="宋体" w:cs="Times New Roman"/>
          <w:color w:val="auto"/>
          <w:lang w:val="en-US" w:eastAsia="zh-CN"/>
        </w:rPr>
        <w:t>竣工环境保护验收</w:t>
      </w:r>
      <w:r>
        <w:rPr>
          <w:rFonts w:hint="eastAsia" w:ascii="Times New Roman" w:hAnsi="Times New Roman" w:eastAsia="宋体" w:cs="Times New Roman"/>
          <w:color w:val="auto"/>
          <w:lang w:val="en-US" w:eastAsia="zh-CN"/>
        </w:rPr>
        <w:t>其他需要说明的事项</w:t>
      </w:r>
      <w:bookmarkEnd w:id="1"/>
      <w:bookmarkEnd w:id="2"/>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val="en-US" w:eastAsia="zh-CN"/>
        </w:rPr>
        <w:t xml:space="preserve">1 </w:t>
      </w:r>
      <w:r>
        <w:rPr>
          <w:rFonts w:hint="default" w:ascii="Times New Roman" w:hAnsi="Times New Roman" w:eastAsia="宋体" w:cs="Times New Roman"/>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1.1 项目</w:t>
      </w:r>
      <w:r>
        <w:rPr>
          <w:rFonts w:hint="default" w:ascii="Times New Roman" w:hAnsi="Times New Roman" w:eastAsia="宋体" w:cs="Times New Roman"/>
          <w:b/>
          <w:sz w:val="28"/>
          <w:szCs w:val="28"/>
        </w:rPr>
        <w:t>设计简况</w:t>
      </w:r>
      <w:r>
        <w:rPr>
          <w:rFonts w:hint="default" w:ascii="Times New Roman" w:hAnsi="Times New Roman" w:eastAsia="宋体" w:cs="Times New Roman"/>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w:t>
      </w:r>
      <w:r>
        <w:rPr>
          <w:rFonts w:hint="default" w:ascii="Times New Roman" w:hAnsi="Times New Roman" w:eastAsia="宋体" w:cs="Times New Roman"/>
          <w:sz w:val="24"/>
          <w:szCs w:val="24"/>
          <w:lang w:val="en-US" w:eastAsia="zh-CN"/>
        </w:rPr>
        <w:t>项目的环境保护设施</w:t>
      </w:r>
      <w:r>
        <w:rPr>
          <w:rFonts w:hint="eastAsia" w:ascii="Times New Roman" w:hAnsi="Times New Roman" w:eastAsia="宋体" w:cs="Times New Roman"/>
          <w:sz w:val="24"/>
          <w:szCs w:val="24"/>
          <w:lang w:val="en-US" w:eastAsia="zh-CN"/>
        </w:rPr>
        <w:t>未</w:t>
      </w:r>
      <w:r>
        <w:rPr>
          <w:rFonts w:hint="default" w:ascii="Times New Roman" w:hAnsi="Times New Roman" w:eastAsia="宋体" w:cs="Times New Roman"/>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1.2</w:t>
      </w:r>
      <w:r>
        <w:rPr>
          <w:rFonts w:hint="eastAsia" w:ascii="Times New Roman" w:hAnsi="Times New Roman" w:eastAsia="宋体" w:cs="Times New Roman"/>
          <w:b/>
          <w:sz w:val="28"/>
          <w:szCs w:val="28"/>
          <w:lang w:val="en-US" w:eastAsia="zh-CN"/>
        </w:rPr>
        <w:t xml:space="preserve"> 项目</w:t>
      </w:r>
      <w:r>
        <w:rPr>
          <w:rFonts w:hint="default" w:ascii="Times New Roman" w:hAnsi="Times New Roman" w:eastAsia="宋体" w:cs="Times New Roman"/>
          <w:b/>
          <w:sz w:val="28"/>
          <w:szCs w:val="28"/>
          <w:lang w:val="en-US" w:eastAsia="zh-CN"/>
        </w:rPr>
        <w:t>施工简况</w:t>
      </w:r>
      <w:r>
        <w:rPr>
          <w:rFonts w:hint="eastAsia" w:ascii="Times New Roman" w:hAnsi="Times New Roman" w:eastAsia="宋体" w:cs="Times New Roman"/>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1.3</w:t>
      </w:r>
      <w:r>
        <w:rPr>
          <w:rFonts w:hint="eastAsia" w:ascii="Times New Roman" w:hAnsi="Times New Roman" w:eastAsia="宋体" w:cs="Times New Roman"/>
          <w:b/>
          <w:sz w:val="28"/>
          <w:szCs w:val="28"/>
          <w:lang w:val="en-US" w:eastAsia="zh-CN"/>
        </w:rPr>
        <w:t xml:space="preserve"> 项目</w:t>
      </w:r>
      <w:r>
        <w:rPr>
          <w:rFonts w:hint="default" w:ascii="Times New Roman" w:hAnsi="Times New Roman" w:eastAsia="宋体" w:cs="Times New Roman"/>
          <w:b/>
          <w:sz w:val="28"/>
          <w:szCs w:val="28"/>
          <w:lang w:val="en-US" w:eastAsia="zh-CN"/>
        </w:rPr>
        <w:t>验收过程简况</w:t>
      </w:r>
      <w:r>
        <w:rPr>
          <w:rFonts w:hint="eastAsia" w:ascii="Times New Roman" w:hAnsi="Times New Roman" w:eastAsia="宋体" w:cs="Times New Roman"/>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建设地点位于山东省聊城市茌平区聊城市茌平县文化路以北，县委党校以东，隅西路以南。本项目为新建项目，项目占地面积2095平方米，总投资947.05万元，其中环保投资8万元，环保投资占比0.845%。本项目用于建设新院区配套的</w:t>
      </w:r>
      <w:r>
        <w:rPr>
          <w:rFonts w:hint="default" w:ascii="Times New Roman" w:hAnsi="Times New Roman" w:eastAsia="宋体" w:cs="Times New Roman"/>
          <w:sz w:val="24"/>
          <w:szCs w:val="24"/>
          <w:lang w:val="en-US" w:eastAsia="zh-CN"/>
        </w:rPr>
        <w:t>锅炉房</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地上车库等设施</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原有项目的锅炉房、垃圾收集点不再建设，将原有一台6t/h的锅炉，改为2台3t/h的锅炉（一用一备），</w:t>
      </w:r>
      <w:r>
        <w:rPr>
          <w:rFonts w:hint="eastAsia" w:ascii="Times New Roman" w:hAnsi="Times New Roman" w:eastAsia="宋体" w:cs="Times New Roman"/>
          <w:sz w:val="24"/>
          <w:szCs w:val="24"/>
          <w:lang w:val="en-US" w:eastAsia="zh-CN"/>
        </w:rPr>
        <w:t>用于提供热水与取暖。为节省资源，减少大气污染物排放，拟在南院区建设空气能热泵，代替该项目天然气锅炉，自2024年3月18日起不再使用该项目天然气锅炉</w:t>
      </w:r>
      <w:r>
        <w:rPr>
          <w:rFonts w:hint="default"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2019年7月，聊城市茌平区人民医院委托山东民通环境安全科技有限公司编制《茌平县人民医院配套设施建设项目环境影响报告表》，2019年10月16日茌平县行政审批服务局以茌行审投资环管[2019]45号文对该项目进行了批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2024年02月，公司委托山东玖玺环保工程有限公司于2024年02月23日和02月24日对茌平县人民医院配套设施建设项目进行了验收检测。后对检测数据进行分析论证，在此基础上完成了项目竣工环境保护验收监测报告表的编制。本次项目验收范围为茌平县人民医院配套设施建设项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验收结论为：聊城市茌平区人民医院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于2024年</w:t>
      </w:r>
      <w:bookmarkStart w:id="3" w:name="_GoBack"/>
      <w:bookmarkEnd w:id="3"/>
      <w:r>
        <w:rPr>
          <w:rFonts w:hint="eastAsia" w:ascii="Times New Roman" w:hAnsi="Times New Roman" w:eastAsia="宋体" w:cs="Times New Roman"/>
          <w:sz w:val="24"/>
          <w:szCs w:val="24"/>
          <w:lang w:val="en-US" w:eastAsia="zh-CN"/>
        </w:rPr>
        <w:t>3月23日验收工作组原则上同意该项目环保设施通过环保验收。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2</w:t>
      </w:r>
      <w:r>
        <w:rPr>
          <w:rFonts w:hint="eastAsia" w:ascii="Times New Roman" w:hAnsi="Times New Roman" w:eastAsia="宋体" w:cs="Times New Roman"/>
          <w:b/>
          <w:sz w:val="28"/>
          <w:szCs w:val="28"/>
          <w:lang w:val="en-US" w:eastAsia="zh-CN"/>
        </w:rPr>
        <w:t xml:space="preserve"> </w:t>
      </w:r>
      <w:r>
        <w:rPr>
          <w:rFonts w:hint="default" w:ascii="Times New Roman" w:hAnsi="Times New Roman" w:eastAsia="宋体" w:cs="Times New Roman"/>
          <w:b/>
          <w:sz w:val="28"/>
          <w:szCs w:val="28"/>
          <w:lang w:val="en-US" w:eastAsia="zh-CN"/>
        </w:rPr>
        <w:t>其他环境保护措施的实施情况</w:t>
      </w:r>
      <w:r>
        <w:rPr>
          <w:rFonts w:hint="eastAsia" w:ascii="Times New Roman" w:hAnsi="Times New Roman" w:eastAsia="宋体" w:cs="Times New Roman"/>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环境影响报告表（书）及其审批部门审批决定中提出的，除环境保护设施外的其他环境保护措施，主要包括制度措施和配套措施等，现将需要说明的措施内容和要求梳理如下：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2.1</w:t>
      </w:r>
      <w:r>
        <w:rPr>
          <w:rFonts w:hint="eastAsia" w:ascii="Times New Roman" w:hAnsi="Times New Roman" w:eastAsia="宋体" w:cs="Times New Roman"/>
          <w:b/>
          <w:sz w:val="28"/>
          <w:szCs w:val="28"/>
          <w:lang w:val="en-US" w:eastAsia="zh-CN"/>
        </w:rPr>
        <w:t xml:space="preserve"> </w:t>
      </w:r>
      <w:r>
        <w:rPr>
          <w:rFonts w:hint="default" w:ascii="Times New Roman" w:hAnsi="Times New Roman" w:eastAsia="宋体" w:cs="Times New Roman"/>
          <w:b/>
          <w:sz w:val="28"/>
          <w:szCs w:val="28"/>
          <w:lang w:val="en-US" w:eastAsia="zh-CN"/>
        </w:rPr>
        <w:t>制度措施落实情况</w:t>
      </w:r>
      <w:r>
        <w:rPr>
          <w:rFonts w:hint="eastAsia" w:ascii="Times New Roman" w:hAnsi="Times New Roman" w:eastAsia="宋体" w:cs="Times New Roman"/>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医院</w:t>
      </w:r>
      <w:r>
        <w:rPr>
          <w:rFonts w:hint="default" w:ascii="Times New Roman" w:hAnsi="Times New Roman" w:eastAsia="宋体" w:cs="Times New Roman"/>
          <w:sz w:val="24"/>
          <w:szCs w:val="24"/>
          <w:lang w:val="en-US" w:eastAsia="zh-CN"/>
        </w:rPr>
        <w:t>己建立环保组织机构及规章制度。</w:t>
      </w:r>
      <w:r>
        <w:rPr>
          <w:rFonts w:hint="eastAsia" w:ascii="Times New Roman" w:hAnsi="Times New Roman" w:eastAsia="宋体" w:cs="Times New Roman"/>
          <w:sz w:val="24"/>
          <w:szCs w:val="24"/>
          <w:lang w:val="en-US" w:eastAsia="zh-CN"/>
        </w:rPr>
        <w:t>医院</w:t>
      </w:r>
      <w:r>
        <w:rPr>
          <w:rFonts w:hint="default" w:ascii="Times New Roman" w:hAnsi="Times New Roman" w:eastAsia="宋体" w:cs="Times New Roman"/>
          <w:sz w:val="24"/>
          <w:szCs w:val="24"/>
          <w:lang w:val="en-US" w:eastAsia="zh-CN"/>
        </w:rPr>
        <w:t>成立了环境保护工作组</w:t>
      </w:r>
      <w:r>
        <w:rPr>
          <w:rFonts w:hint="eastAsia" w:ascii="Times New Roman" w:hAnsi="Times New Roman"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组长</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负责企业环保全面工作，是企业环保的第一责任人。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副组长</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负责</w:t>
      </w:r>
      <w:r>
        <w:rPr>
          <w:rFonts w:hint="eastAsia" w:ascii="Times New Roman" w:hAnsi="Times New Roman" w:eastAsia="宋体" w:cs="Times New Roman"/>
          <w:sz w:val="24"/>
          <w:szCs w:val="24"/>
          <w:lang w:val="en-US" w:eastAsia="zh-CN"/>
        </w:rPr>
        <w:t>医院</w:t>
      </w:r>
      <w:r>
        <w:rPr>
          <w:rFonts w:hint="default" w:ascii="Times New Roman" w:hAnsi="Times New Roman" w:eastAsia="宋体" w:cs="Times New Roman"/>
          <w:sz w:val="24"/>
          <w:szCs w:val="24"/>
          <w:lang w:val="en-US" w:eastAsia="zh-CN"/>
        </w:rPr>
        <w:t>环保工作的日常监督管理，负责环保相关信息搜索、培训、宣传及执行；保卫科负责</w:t>
      </w:r>
      <w:r>
        <w:rPr>
          <w:rFonts w:hint="eastAsia" w:ascii="Times New Roman" w:hAnsi="Times New Roman" w:eastAsia="宋体" w:cs="Times New Roman"/>
          <w:sz w:val="24"/>
          <w:szCs w:val="24"/>
          <w:lang w:val="en-US" w:eastAsia="zh-CN"/>
        </w:rPr>
        <w:t>医院</w:t>
      </w:r>
      <w:r>
        <w:rPr>
          <w:rFonts w:hint="default" w:ascii="Times New Roman" w:hAnsi="Times New Roman" w:eastAsia="宋体" w:cs="Times New Roman"/>
          <w:sz w:val="24"/>
          <w:szCs w:val="24"/>
          <w:lang w:val="en-US" w:eastAsia="zh-CN"/>
        </w:rPr>
        <w:t>环境安全卫生的日常维护；负责生产环境卫生的控制，负责</w:t>
      </w:r>
      <w:r>
        <w:rPr>
          <w:rFonts w:hint="eastAsia" w:ascii="Times New Roman" w:hAnsi="Times New Roman" w:eastAsia="宋体" w:cs="Times New Roman"/>
          <w:sz w:val="24"/>
          <w:szCs w:val="24"/>
          <w:lang w:val="en-US" w:eastAsia="zh-CN"/>
        </w:rPr>
        <w:t>院区</w:t>
      </w:r>
      <w:r>
        <w:rPr>
          <w:rFonts w:hint="default" w:ascii="Times New Roman" w:hAnsi="Times New Roman" w:eastAsia="宋体" w:cs="Times New Roman"/>
          <w:sz w:val="24"/>
          <w:szCs w:val="24"/>
          <w:lang w:val="en-US" w:eastAsia="zh-CN"/>
        </w:rPr>
        <w:t>用电的控制；负责相关环保设备设施的维护及日常运转。负责固废的外运和处理及必要的环保设备的购置。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本公司针对各项环保设施制订了运行维护管理制度、设施操作规程。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①加强企业的管</w:t>
      </w:r>
      <w:r>
        <w:rPr>
          <w:rFonts w:hint="default" w:ascii="Times New Roman" w:hAnsi="Times New Roman" w:eastAsia="宋体" w:cs="Times New Roman"/>
          <w:sz w:val="24"/>
          <w:szCs w:val="24"/>
          <w:lang w:val="en-US" w:eastAsia="zh-CN"/>
        </w:rPr>
        <w:t xml:space="preserve">理，可有效避免环境风险事故的发生。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②成立风险事故应急小组，建立各种风险事故应急防</w:t>
      </w:r>
      <w:r>
        <w:rPr>
          <w:rFonts w:hint="eastAsia" w:ascii="Times New Roman" w:hAnsi="Times New Roman" w:eastAsia="宋体" w:cs="Times New Roman"/>
          <w:sz w:val="24"/>
          <w:szCs w:val="24"/>
          <w:lang w:val="en-US" w:eastAsia="zh-CN"/>
        </w:rPr>
        <w:t>洪</w:t>
      </w:r>
      <w:r>
        <w:rPr>
          <w:rFonts w:hint="default" w:ascii="Times New Roman" w:hAnsi="Times New Roman" w:eastAsia="宋体" w:cs="Times New Roman"/>
          <w:sz w:val="24"/>
          <w:szCs w:val="24"/>
          <w:lang w:val="en-US" w:eastAsia="zh-CN"/>
        </w:rPr>
        <w:t xml:space="preserve">预案，规定应急状态下的联络通讯方式，一旦出现事故，及时作出反应，避免事故扩大化。制定污水溢出，火灾事故应急救援预案。组织训练单位的灾害事故应急救援队伍，配备必要的防护，救援器材和设备，指定专人管理，并定期进行检查和维护保养，确保完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③加强各相关部门之间的联络，一旦出现环境风险事故，马上联络各相关部门,可迅速作出反应。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④人员培训与演习：应急计划制定以后，平时安排有关人员培训与演习。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⑤配备及相关应急设施，设备，器材与材料：应急设备，器材的配备应包括消防和工业卫生等方面。项目内部的消防按国家消防法规要求，属义务消防组织。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（3）环境监测计划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根据环境影响报告书（表）及其审批部门审批决定要求以及《排污单位自行监测技术指南 总则》（</w:t>
      </w:r>
      <w:r>
        <w:rPr>
          <w:rFonts w:hint="default" w:ascii="Times New Roman" w:hAnsi="Times New Roman" w:eastAsia="宋体" w:cs="Times New Roman"/>
          <w:sz w:val="24"/>
          <w:szCs w:val="24"/>
          <w:lang w:val="en-US" w:eastAsia="zh-CN"/>
        </w:rPr>
        <w:t>HJ 819-2017</w:t>
      </w:r>
      <w:r>
        <w:rPr>
          <w:rFonts w:hint="eastAsia" w:ascii="Times New Roman" w:hAnsi="Times New Roman" w:eastAsia="宋体" w:cs="Times New Roman"/>
          <w:sz w:val="24"/>
          <w:szCs w:val="24"/>
          <w:lang w:val="en-US" w:eastAsia="zh-CN"/>
        </w:rPr>
        <w:t xml:space="preserve">）表 </w:t>
      </w:r>
      <w:r>
        <w:rPr>
          <w:rFonts w:hint="default" w:ascii="Times New Roman" w:hAnsi="Times New Roman" w:eastAsia="宋体" w:cs="Times New Roman"/>
          <w:sz w:val="24"/>
          <w:szCs w:val="24"/>
          <w:lang w:val="en-US" w:eastAsia="zh-CN"/>
        </w:rPr>
        <w:t xml:space="preserve">1 </w:t>
      </w:r>
      <w:r>
        <w:rPr>
          <w:rFonts w:hint="eastAsia" w:ascii="Times New Roman" w:hAnsi="Times New Roman" w:eastAsia="宋体" w:cs="Times New Roman"/>
          <w:sz w:val="24"/>
          <w:szCs w:val="24"/>
          <w:lang w:val="en-US" w:eastAsia="zh-CN"/>
        </w:rPr>
        <w:t xml:space="preserve">非重点排污单位、其他排放口的监测指标自行监测要求，本项目废气自行监测计划见下表：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项目废气自行监测计划一览表</w:t>
      </w:r>
    </w:p>
    <w:tbl>
      <w:tblPr>
        <w:tblStyle w:val="6"/>
        <w:tblW w:w="89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2079"/>
        <w:gridCol w:w="1353"/>
        <w:gridCol w:w="1716"/>
        <w:gridCol w:w="17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9" w:type="dxa"/>
            <w:tcBorders>
              <w:tl2br w:val="nil"/>
              <w:tr2bl w:val="nil"/>
            </w:tcBorders>
            <w:noWrap w:val="0"/>
            <w:vAlign w:val="center"/>
          </w:tcPr>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default" w:ascii="宋体" w:hAnsi="宋体" w:eastAsia="宋体" w:cs="宋体"/>
                <w:b/>
                <w:bCs/>
                <w:color w:val="000000"/>
                <w:kern w:val="0"/>
                <w:sz w:val="24"/>
                <w:szCs w:val="24"/>
                <w:lang w:val="en-US" w:eastAsia="zh-CN" w:bidi="ar"/>
              </w:rPr>
              <w:t>环境要素</w:t>
            </w:r>
          </w:p>
        </w:tc>
        <w:tc>
          <w:tcPr>
            <w:tcW w:w="2079" w:type="dxa"/>
            <w:tcBorders>
              <w:tl2br w:val="nil"/>
              <w:tr2bl w:val="nil"/>
            </w:tcBorders>
            <w:noWrap w:val="0"/>
            <w:vAlign w:val="center"/>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default" w:ascii="宋体" w:hAnsi="宋体" w:eastAsia="宋体" w:cs="宋体"/>
                <w:b/>
                <w:bCs/>
                <w:color w:val="000000"/>
                <w:kern w:val="0"/>
                <w:sz w:val="24"/>
                <w:szCs w:val="24"/>
                <w:lang w:val="en-US" w:eastAsia="zh-CN" w:bidi="ar"/>
              </w:rPr>
              <w:t>监测位置</w:t>
            </w:r>
          </w:p>
        </w:tc>
        <w:tc>
          <w:tcPr>
            <w:tcW w:w="1353" w:type="dxa"/>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1716" w:type="dxa"/>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1717" w:type="dxa"/>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eastAsia" w:ascii="Times New Roman" w:hAnsi="Times New Roman" w:cs="Times New Roman"/>
                <w:sz w:val="24"/>
                <w:lang w:val="en-US" w:eastAsia="zh-CN"/>
              </w:rPr>
            </w:pPr>
            <w:r>
              <w:rPr>
                <w:rStyle w:val="8"/>
                <w:rFonts w:hint="eastAsia" w:ascii="Times New Roman" w:hAnsi="Times New Roman" w:cs="Times New Roman"/>
                <w:sz w:val="24"/>
                <w:lang w:val="en-US" w:eastAsia="zh-CN"/>
              </w:rPr>
              <w:t>无组织</w:t>
            </w:r>
          </w:p>
        </w:tc>
        <w:tc>
          <w:tcPr>
            <w:tcW w:w="207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eastAsia" w:ascii="Times New Roman" w:hAnsi="Times New Roman" w:eastAsia="宋体" w:cs="Times New Roman"/>
                <w:sz w:val="24"/>
                <w:lang w:val="en-US" w:eastAsia="zh-CN"/>
              </w:rPr>
            </w:pPr>
            <w:r>
              <w:rPr>
                <w:rStyle w:val="8"/>
                <w:rFonts w:hint="eastAsia" w:ascii="Times New Roman" w:hAnsi="Times New Roman" w:cs="Times New Roman"/>
                <w:sz w:val="24"/>
                <w:lang w:val="en-US" w:eastAsia="zh-CN"/>
              </w:rPr>
              <w:t>厂界</w:t>
            </w:r>
          </w:p>
        </w:tc>
        <w:tc>
          <w:tcPr>
            <w:tcW w:w="13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氨</w:t>
            </w:r>
          </w:p>
        </w:tc>
        <w:tc>
          <w:tcPr>
            <w:tcW w:w="17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1次/半年</w:t>
            </w:r>
          </w:p>
        </w:tc>
        <w:tc>
          <w:tcPr>
            <w:tcW w:w="1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eastAsia" w:ascii="Times New Roman" w:hAnsi="Times New Roman" w:cs="Times New Roman"/>
                <w:sz w:val="24"/>
                <w:lang w:val="en-US" w:eastAsia="zh-CN"/>
              </w:rPr>
            </w:pPr>
          </w:p>
        </w:tc>
        <w:tc>
          <w:tcPr>
            <w:tcW w:w="207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eastAsia" w:ascii="Times New Roman" w:hAnsi="Times New Roman" w:cs="Times New Roman"/>
                <w:sz w:val="24"/>
                <w:lang w:val="en-US" w:eastAsia="zh-CN"/>
              </w:rPr>
            </w:pPr>
          </w:p>
        </w:tc>
        <w:tc>
          <w:tcPr>
            <w:tcW w:w="13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硫化氢</w:t>
            </w:r>
          </w:p>
        </w:tc>
        <w:tc>
          <w:tcPr>
            <w:tcW w:w="17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1次/半年</w:t>
            </w:r>
          </w:p>
        </w:tc>
        <w:tc>
          <w:tcPr>
            <w:tcW w:w="1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eastAsia" w:ascii="Times New Roman" w:hAnsi="Times New Roman" w:eastAsia="宋体" w:cs="Times New Roman"/>
                <w:sz w:val="24"/>
                <w:lang w:val="en-US" w:eastAsia="zh-CN"/>
              </w:rPr>
            </w:pPr>
          </w:p>
        </w:tc>
        <w:tc>
          <w:tcPr>
            <w:tcW w:w="207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eastAsia" w:ascii="Times New Roman" w:hAnsi="Times New Roman" w:eastAsia="宋体" w:cs="Times New Roman"/>
                <w:sz w:val="24"/>
                <w:lang w:val="en-US" w:eastAsia="zh-CN"/>
              </w:rPr>
            </w:pPr>
          </w:p>
        </w:tc>
        <w:tc>
          <w:tcPr>
            <w:tcW w:w="13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default" w:ascii="Times New Roman" w:hAnsi="Times New Roman" w:eastAsia="宋体" w:cs="Times New Roman"/>
                <w:sz w:val="24"/>
                <w:lang w:val="en-US" w:eastAsia="zh-CN"/>
              </w:rPr>
            </w:pPr>
            <w:r>
              <w:rPr>
                <w:rFonts w:hint="eastAsia" w:ascii="Times New Roman" w:hAnsi="Times New Roman" w:eastAsia="宋体" w:cs="Times New Roman"/>
                <w:sz w:val="24"/>
                <w:szCs w:val="24"/>
                <w:vertAlign w:val="baseline"/>
                <w:lang w:val="en-US" w:eastAsia="zh-CN"/>
              </w:rPr>
              <w:t>臭气浓度</w:t>
            </w:r>
          </w:p>
        </w:tc>
        <w:tc>
          <w:tcPr>
            <w:tcW w:w="17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default" w:ascii="Times New Roman" w:hAnsi="Times New Roman" w:eastAsia="宋体" w:cs="Times New Roman"/>
                <w:sz w:val="24"/>
                <w:lang w:val="en-US" w:eastAsia="zh-CN"/>
              </w:rPr>
            </w:pPr>
            <w:r>
              <w:rPr>
                <w:rFonts w:hint="eastAsia" w:ascii="Times New Roman" w:hAnsi="Times New Roman" w:eastAsia="宋体" w:cs="Times New Roman"/>
                <w:sz w:val="24"/>
                <w:szCs w:val="24"/>
                <w:vertAlign w:val="baseline"/>
                <w:lang w:val="en-US" w:eastAsia="zh-CN"/>
              </w:rPr>
              <w:t>1次/半年</w:t>
            </w:r>
          </w:p>
        </w:tc>
        <w:tc>
          <w:tcPr>
            <w:tcW w:w="1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eastAsia" w:ascii="Times New Roman" w:hAnsi="Times New Roman" w:eastAsia="宋体" w:cs="Times New Roman"/>
                <w:sz w:val="24"/>
                <w:lang w:val="en-US" w:eastAsia="zh-CN"/>
              </w:rPr>
            </w:pPr>
          </w:p>
        </w:tc>
        <w:tc>
          <w:tcPr>
            <w:tcW w:w="207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eastAsia" w:ascii="Times New Roman" w:hAnsi="Times New Roman" w:eastAsia="宋体" w:cs="Times New Roman"/>
                <w:sz w:val="24"/>
                <w:lang w:val="en-US" w:eastAsia="zh-CN"/>
              </w:rPr>
            </w:pPr>
          </w:p>
        </w:tc>
        <w:tc>
          <w:tcPr>
            <w:tcW w:w="13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eastAsia" w:ascii="Times New Roman" w:hAnsi="Times New Roman" w:eastAsia="宋体" w:cs="Times New Roman"/>
                <w:sz w:val="24"/>
                <w:lang w:val="en-US" w:eastAsia="zh-CN"/>
              </w:rPr>
            </w:pPr>
            <w:r>
              <w:rPr>
                <w:rStyle w:val="8"/>
                <w:rFonts w:hint="eastAsia" w:ascii="Times New Roman" w:hAnsi="Times New Roman" w:cs="Times New Roman"/>
                <w:sz w:val="24"/>
                <w:lang w:val="en-US" w:eastAsia="zh-CN"/>
              </w:rPr>
              <w:t>颗粒物</w:t>
            </w:r>
          </w:p>
        </w:tc>
        <w:tc>
          <w:tcPr>
            <w:tcW w:w="17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vertAlign w:val="baseline"/>
                <w:lang w:val="en-US" w:eastAsia="zh-CN"/>
              </w:rPr>
              <w:t>1次/半年</w:t>
            </w:r>
          </w:p>
        </w:tc>
        <w:tc>
          <w:tcPr>
            <w:tcW w:w="1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sz w:val="24"/>
                <w:szCs w:val="24"/>
                <w:vertAlign w:val="baseline"/>
                <w:lang w:val="en-US" w:eastAsia="zh-CN"/>
              </w:rPr>
              <w:t>委托检测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噪声</w:t>
            </w:r>
          </w:p>
        </w:tc>
        <w:tc>
          <w:tcPr>
            <w:tcW w:w="2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8"/>
                <w:rFonts w:hint="eastAsia" w:ascii="Times New Roman" w:hAnsi="Times New Roman" w:eastAsia="宋体" w:cs="Times New Roman"/>
                <w:sz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厂界四周</w:t>
            </w:r>
          </w:p>
        </w:tc>
        <w:tc>
          <w:tcPr>
            <w:tcW w:w="13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kern w:val="2"/>
                <w:sz w:val="24"/>
                <w:szCs w:val="24"/>
                <w:lang w:val="en-US" w:eastAsia="zh-CN" w:bidi="ar-SA"/>
              </w:rPr>
            </w:pPr>
            <w:r>
              <w:rPr>
                <w:rStyle w:val="8"/>
                <w:rFonts w:hint="default" w:ascii="Times New Roman" w:hAnsi="Times New Roman" w:eastAsia="宋体" w:cs="Times New Roman"/>
                <w:sz w:val="24"/>
                <w:lang w:val="en-US" w:eastAsia="zh-CN"/>
              </w:rPr>
              <w:t>LeqdB</w:t>
            </w:r>
            <w:r>
              <w:rPr>
                <w:rStyle w:val="8"/>
                <w:rFonts w:hint="eastAsia" w:ascii="Times New Roman" w:hAnsi="Times New Roman" w:eastAsia="宋体" w:cs="Times New Roman"/>
                <w:sz w:val="24"/>
                <w:lang w:val="en-US" w:eastAsia="zh-CN"/>
              </w:rPr>
              <w:t>（</w:t>
            </w:r>
            <w:r>
              <w:rPr>
                <w:rStyle w:val="8"/>
                <w:rFonts w:hint="default" w:ascii="Times New Roman" w:hAnsi="Times New Roman" w:eastAsia="宋体" w:cs="Times New Roman"/>
                <w:sz w:val="24"/>
                <w:lang w:val="en-US" w:eastAsia="zh-CN"/>
              </w:rPr>
              <w:t>A</w:t>
            </w:r>
            <w:r>
              <w:rPr>
                <w:rStyle w:val="8"/>
                <w:rFonts w:hint="eastAsia" w:ascii="Times New Roman" w:hAnsi="Times New Roman" w:eastAsia="宋体" w:cs="Times New Roman"/>
                <w:sz w:val="24"/>
                <w:lang w:val="en-US" w:eastAsia="zh-CN"/>
              </w:rPr>
              <w:t>）</w:t>
            </w:r>
          </w:p>
        </w:tc>
        <w:tc>
          <w:tcPr>
            <w:tcW w:w="171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kern w:val="2"/>
                <w:sz w:val="24"/>
                <w:szCs w:val="24"/>
                <w:lang w:val="en-US" w:eastAsia="zh-CN" w:bidi="ar-SA"/>
              </w:rPr>
            </w:pPr>
            <w:r>
              <w:rPr>
                <w:rStyle w:val="8"/>
                <w:rFonts w:hint="default" w:ascii="Times New Roman" w:hAnsi="Times New Roman" w:eastAsia="宋体" w:cs="Times New Roman"/>
                <w:sz w:val="24"/>
                <w:lang w:val="en-US" w:eastAsia="zh-CN"/>
              </w:rPr>
              <w:t>每季度一次，</w:t>
            </w:r>
            <w:r>
              <w:rPr>
                <w:rStyle w:val="8"/>
                <w:rFonts w:hint="eastAsia" w:ascii="Times New Roman" w:hAnsi="Times New Roman" w:eastAsia="宋体" w:cs="Times New Roman"/>
                <w:sz w:val="24"/>
                <w:lang w:val="en-US" w:eastAsia="zh-CN"/>
              </w:rPr>
              <w:t>每次一天，</w:t>
            </w:r>
            <w:r>
              <w:rPr>
                <w:rStyle w:val="8"/>
                <w:rFonts w:hint="default" w:ascii="Times New Roman" w:hAnsi="Times New Roman" w:eastAsia="宋体" w:cs="Times New Roman"/>
                <w:sz w:val="24"/>
                <w:lang w:val="en-US" w:eastAsia="zh-CN"/>
              </w:rPr>
              <w:t>昼</w:t>
            </w:r>
            <w:r>
              <w:rPr>
                <w:rStyle w:val="8"/>
                <w:rFonts w:hint="eastAsia" w:ascii="Times New Roman" w:hAnsi="Times New Roman" w:eastAsia="宋体" w:cs="Times New Roman"/>
                <w:sz w:val="24"/>
                <w:lang w:val="en-US" w:eastAsia="zh-CN"/>
              </w:rPr>
              <w:t>夜</w:t>
            </w:r>
            <w:r>
              <w:rPr>
                <w:rStyle w:val="8"/>
                <w:rFonts w:hint="default" w:ascii="Times New Roman" w:hAnsi="Times New Roman" w:eastAsia="宋体" w:cs="Times New Roman"/>
                <w:sz w:val="24"/>
                <w:lang w:val="en-US" w:eastAsia="zh-CN"/>
              </w:rPr>
              <w:t>监测</w:t>
            </w:r>
          </w:p>
        </w:tc>
        <w:tc>
          <w:tcPr>
            <w:tcW w:w="17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vertAlign w:val="baseline"/>
                <w:lang w:val="en-US" w:eastAsia="zh-CN"/>
              </w:rPr>
              <w:t>委托检测</w:t>
            </w:r>
          </w:p>
        </w:tc>
      </w:tr>
    </w:tbl>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2.2</w:t>
      </w:r>
      <w:r>
        <w:rPr>
          <w:rFonts w:hint="eastAsia" w:ascii="Times New Roman" w:hAnsi="Times New Roman" w:eastAsia="宋体" w:cs="Times New Roman"/>
          <w:b/>
          <w:sz w:val="28"/>
          <w:szCs w:val="28"/>
          <w:lang w:val="en-US" w:eastAsia="zh-CN"/>
        </w:rPr>
        <w:t xml:space="preserve"> </w:t>
      </w:r>
      <w:r>
        <w:rPr>
          <w:rFonts w:hint="default" w:ascii="Times New Roman" w:hAnsi="Times New Roman" w:eastAsia="宋体" w:cs="Times New Roman"/>
          <w:b/>
          <w:sz w:val="28"/>
          <w:szCs w:val="28"/>
          <w:lang w:val="en-US" w:eastAsia="zh-CN"/>
        </w:rPr>
        <w:t>配套措施落实情况</w:t>
      </w:r>
      <w:r>
        <w:rPr>
          <w:rFonts w:hint="eastAsia" w:ascii="Times New Roman" w:hAnsi="Times New Roman" w:eastAsia="宋体" w:cs="Times New Roman"/>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 xml:space="preserve">2.3 </w:t>
      </w:r>
      <w:r>
        <w:rPr>
          <w:rFonts w:hint="default" w:ascii="Times New Roman" w:hAnsi="Times New Roman" w:eastAsia="宋体" w:cs="Times New Roman"/>
          <w:b/>
          <w:sz w:val="28"/>
          <w:szCs w:val="28"/>
          <w:lang w:val="en-US" w:eastAsia="zh-CN"/>
        </w:rPr>
        <w:t>其他措施落实情况</w:t>
      </w:r>
      <w:r>
        <w:rPr>
          <w:rFonts w:hint="eastAsia" w:ascii="Times New Roman" w:hAnsi="Times New Roman" w:eastAsia="宋体" w:cs="Times New Roman"/>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3</w:t>
      </w:r>
      <w:r>
        <w:rPr>
          <w:rFonts w:hint="eastAsia" w:ascii="Times New Roman" w:hAnsi="Times New Roman" w:eastAsia="宋体" w:cs="Times New Roman"/>
          <w:b/>
          <w:sz w:val="28"/>
          <w:szCs w:val="28"/>
          <w:lang w:val="en-US" w:eastAsia="zh-CN"/>
        </w:rPr>
        <w:t xml:space="preserve"> </w:t>
      </w:r>
      <w:r>
        <w:rPr>
          <w:rFonts w:hint="default" w:ascii="Times New Roman" w:hAnsi="Times New Roman" w:eastAsia="宋体" w:cs="Times New Roman"/>
          <w:b/>
          <w:sz w:val="28"/>
          <w:szCs w:val="28"/>
          <w:lang w:val="en-US" w:eastAsia="zh-CN"/>
        </w:rPr>
        <w:t>整改工作情况</w:t>
      </w:r>
      <w:r>
        <w:rPr>
          <w:rFonts w:hint="eastAsia" w:ascii="Times New Roman" w:hAnsi="Times New Roman" w:eastAsia="宋体" w:cs="Times New Roman"/>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w:t>
      </w:r>
      <w:r>
        <w:rPr>
          <w:rFonts w:hint="default" w:ascii="Times New Roman" w:hAnsi="Times New Roman" w:eastAsia="宋体" w:cs="Times New Roman"/>
          <w:sz w:val="24"/>
          <w:szCs w:val="24"/>
          <w:lang w:val="en-US" w:eastAsia="zh-CN"/>
        </w:rPr>
        <w:t>验收现场检查会</w:t>
      </w:r>
      <w:r>
        <w:rPr>
          <w:rFonts w:hint="eastAsia" w:ascii="Times New Roman" w:hAnsi="Times New Roman" w:eastAsia="宋体" w:cs="Times New Roman"/>
          <w:sz w:val="24"/>
          <w:szCs w:val="24"/>
          <w:lang w:val="en-US" w:eastAsia="zh-CN"/>
        </w:rPr>
        <w:t>专家提出的整改意见及整改措施如下：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（1）院区地面应及时清理，保持院区地面清洁，防止扬尘。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整改/修改情况：已安排专门人员及时清理院区地面卫生，保持院区地面清洁，防止扬尘。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（2）项目运营过程中，严格执行排污许可排放标准，一般工业固废严格按照《一般工业固体废物贮存和填埋污染控制标准》（GB 18599-2020）要求执行</w:t>
      </w:r>
      <w:r>
        <w:rPr>
          <w:rFonts w:hint="eastAsia" w:ascii="Times New Roman" w:hAnsi="Times New Roman" w:cs="Times New Roman"/>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项目运营过程中，严格执行排污许可排放标准，一般工业固废严格按照《一般工业固体废物贮存和填埋污染控制标准》（GB 18599-2020）要求执行。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WEyYWJiYzE0ZDRlYTdmYjFiNzVkYjYwYmZhM2IifQ=="/>
  </w:docVars>
  <w:rsids>
    <w:rsidRoot w:val="36431A6B"/>
    <w:rsid w:val="232A16A6"/>
    <w:rsid w:val="36431A6B"/>
    <w:rsid w:val="731D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pPr>
    <w:rPr>
      <w:rFonts w:ascii="Tahoma" w:hAnsi="Tahoma" w:eastAsia="微软雅黑" w:cs="Times New Roman"/>
      <w:sz w:val="22"/>
      <w:szCs w:val="22"/>
      <w:lang w:val="en-US" w:eastAsia="zh-CN" w:bidi="ar-SA"/>
    </w:rPr>
  </w:style>
  <w:style w:type="paragraph" w:styleId="4">
    <w:name w:val="heading 1"/>
    <w:basedOn w:val="1"/>
    <w:next w:val="1"/>
    <w:autoRedefine/>
    <w:qFormat/>
    <w:uiPriority w:val="0"/>
    <w:pPr>
      <w:keepNext/>
      <w:keepLines/>
      <w:spacing w:line="300" w:lineRule="auto"/>
      <w:outlineLvl w:val="0"/>
    </w:pPr>
    <w:rPr>
      <w:rFonts w:eastAsia="仿宋"/>
      <w:b/>
      <w:kern w:val="44"/>
      <w:sz w:val="28"/>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NormalCharacter"/>
    <w:autoRedefine/>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2024-03-23T06:40:00Z</dcterms:created>
  <dc:creator>WPS_1505978130</dc:creator>
  <cp:lastModifiedBy>WPS_1505978130</cp:lastModifiedBy>
  <dcterms:modified xsi:type="dcterms:W3CDTF">2024-03-23T07:04:26Z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08DCE493120140D981D79877F35A7623_11</vt:lpwstr>
  </property>
</Properties>
</file>