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聊城信源集团有限公司工业固废综合利用项目（一期）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除环境保护设施外的其他环境保护对策措施的实施情况，以及整改工作情况等。现将建设单位需要说明的具体内容和要求列举如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 环境保护设施设计、施工和验收过程简况</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w:t>
      </w: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提出的环境保护对策措施。</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信发集团在聊城市茌平区共有</w:t>
      </w:r>
      <w:r>
        <w:rPr>
          <w:rFonts w:hint="default" w:ascii="Times New Roman" w:hAnsi="Times New Roman" w:cs="Times New Roman" w:eastAsiaTheme="minorEastAsia"/>
          <w:sz w:val="24"/>
          <w:szCs w:val="24"/>
          <w:lang w:val="en-US" w:eastAsia="zh-CN"/>
        </w:rPr>
        <w:t>20</w:t>
      </w:r>
      <w:r>
        <w:rPr>
          <w:rFonts w:hint="eastAsia" w:ascii="Times New Roman" w:hAnsi="Times New Roman" w:cs="Times New Roman" w:eastAsiaTheme="minorEastAsia"/>
          <w:sz w:val="24"/>
          <w:szCs w:val="24"/>
          <w:lang w:val="en-US" w:eastAsia="zh-CN"/>
        </w:rPr>
        <w:t>余家子公司，其中有</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家电解铝企业和</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家铝型材企业，电解铝企业分别为山东信发华信铝业有限公司、山东信发华源铝业有限公司、聊城信源集团有限公司（大铝厂、小铝厂），铝型材企业为山东云信铝业科技有限公司，电解铝及铝型材企业加工过程产生的铝灰及除尘灰供给本项目（工业固废综合利用项目）作为原料，本项目的建设主体单位为聊城信源集团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聊城信源集团有限公司隶属于信发集团，成立于</w:t>
      </w:r>
      <w:r>
        <w:rPr>
          <w:rFonts w:hint="default" w:ascii="Times New Roman" w:hAnsi="Times New Roman" w:cs="Times New Roman" w:eastAsiaTheme="minorEastAsia"/>
          <w:sz w:val="24"/>
          <w:szCs w:val="24"/>
          <w:lang w:val="en-US" w:eastAsia="zh-CN"/>
        </w:rPr>
        <w:t>2006</w:t>
      </w:r>
      <w:r>
        <w:rPr>
          <w:rFonts w:hint="eastAsia" w:ascii="Times New Roman" w:hAnsi="Times New Roman" w:cs="Times New Roman" w:eastAsiaTheme="minorEastAsia"/>
          <w:sz w:val="24"/>
          <w:szCs w:val="24"/>
          <w:lang w:val="en-US" w:eastAsia="zh-CN"/>
        </w:rPr>
        <w:t>年</w:t>
      </w:r>
      <w:r>
        <w:rPr>
          <w:rFonts w:hint="default" w:ascii="Times New Roman" w:hAnsi="Times New Roman" w:cs="Times New Roman" w:eastAsiaTheme="minorEastAsia"/>
          <w:sz w:val="24"/>
          <w:szCs w:val="24"/>
          <w:lang w:val="en-US" w:eastAsia="zh-CN"/>
        </w:rPr>
        <w:t>7</w:t>
      </w:r>
      <w:r>
        <w:rPr>
          <w:rFonts w:hint="eastAsia" w:ascii="Times New Roman" w:hAnsi="Times New Roman" w:cs="Times New Roman" w:eastAsiaTheme="minorEastAsia"/>
          <w:sz w:val="24"/>
          <w:szCs w:val="24"/>
          <w:lang w:val="en-US" w:eastAsia="zh-CN"/>
        </w:rPr>
        <w:t>月，位于山东省聊城市茌平区信发街道济邯铁路北龙山北路西，企业原名为茌平信源铝业有限公司，于</w:t>
      </w:r>
      <w:r>
        <w:rPr>
          <w:rFonts w:hint="default" w:ascii="Times New Roman" w:hAnsi="Times New Roman" w:cs="Times New Roman" w:eastAsiaTheme="minorEastAsia"/>
          <w:sz w:val="24"/>
          <w:szCs w:val="24"/>
          <w:lang w:val="en-US" w:eastAsia="zh-CN"/>
        </w:rPr>
        <w:t>2016</w:t>
      </w:r>
      <w:r>
        <w:rPr>
          <w:rFonts w:hint="eastAsia" w:ascii="Times New Roman" w:hAnsi="Times New Roman" w:cs="Times New Roman" w:eastAsiaTheme="minorEastAsia"/>
          <w:sz w:val="24"/>
          <w:szCs w:val="24"/>
          <w:lang w:val="en-US" w:eastAsia="zh-CN"/>
        </w:rPr>
        <w:t>年</w:t>
      </w:r>
      <w:r>
        <w:rPr>
          <w:rFonts w:hint="default" w:ascii="Times New Roman" w:hAnsi="Times New Roman" w:cs="Times New Roman" w:eastAsiaTheme="minorEastAsia"/>
          <w:sz w:val="24"/>
          <w:szCs w:val="24"/>
          <w:lang w:val="en-US" w:eastAsia="zh-CN"/>
        </w:rPr>
        <w:t>9</w:t>
      </w:r>
      <w:r>
        <w:rPr>
          <w:rFonts w:hint="eastAsia" w:ascii="Times New Roman" w:hAnsi="Times New Roman" w:cs="Times New Roman" w:eastAsiaTheme="minorEastAsia"/>
          <w:sz w:val="24"/>
          <w:szCs w:val="24"/>
          <w:lang w:val="en-US" w:eastAsia="zh-CN"/>
        </w:rPr>
        <w:t xml:space="preserve">月变更为聊城信源集团有限公司，法定代表人为张德程。信源公司为信发集团独立法人子公司，是一家集发电、供热、电解铝及深加工于一体的特大型民营企业。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信源公司为方便内部管理，将集团内部划分为四个管理机构，厂区范围内西北侧为</w:t>
      </w:r>
      <w:r>
        <w:rPr>
          <w:rFonts w:hint="default" w:ascii="Times New Roman" w:hAnsi="Times New Roman" w:cs="Times New Roman" w:eastAsiaTheme="minorEastAsia"/>
          <w:sz w:val="24"/>
          <w:szCs w:val="24"/>
          <w:lang w:val="en-US" w:eastAsia="zh-CN"/>
        </w:rPr>
        <w:t>600kA</w:t>
      </w:r>
      <w:r>
        <w:rPr>
          <w:rFonts w:hint="eastAsia" w:ascii="Times New Roman" w:hAnsi="Times New Roman" w:cs="Times New Roman" w:eastAsiaTheme="minorEastAsia"/>
          <w:sz w:val="24"/>
          <w:szCs w:val="24"/>
          <w:lang w:val="en-US" w:eastAsia="zh-CN"/>
        </w:rPr>
        <w:t>大型预焙槽电解铝及其深加工片区，简称：大铝厂；东北侧为</w:t>
      </w:r>
      <w:r>
        <w:rPr>
          <w:rFonts w:hint="default" w:ascii="Times New Roman" w:hAnsi="Times New Roman" w:cs="Times New Roman" w:eastAsiaTheme="minorEastAsia"/>
          <w:sz w:val="24"/>
          <w:szCs w:val="24"/>
          <w:lang w:val="en-US" w:eastAsia="zh-CN"/>
        </w:rPr>
        <w:t>240kA</w:t>
      </w:r>
      <w:r>
        <w:rPr>
          <w:rFonts w:hint="eastAsia" w:ascii="Times New Roman" w:hAnsi="Times New Roman" w:cs="Times New Roman" w:eastAsiaTheme="minorEastAsia"/>
          <w:sz w:val="24"/>
          <w:szCs w:val="24"/>
          <w:lang w:val="en-US" w:eastAsia="zh-CN"/>
        </w:rPr>
        <w:t>大型预焙槽电解铝及其深加工片区，简称：小铝厂；西南侧为</w:t>
      </w:r>
      <w:r>
        <w:rPr>
          <w:rFonts w:hint="default" w:ascii="Times New Roman" w:hAnsi="Times New Roman" w:cs="Times New Roman" w:eastAsiaTheme="minorEastAsia"/>
          <w:sz w:val="24"/>
          <w:szCs w:val="24"/>
          <w:lang w:val="en-US" w:eastAsia="zh-CN"/>
        </w:rPr>
        <w:t>6×600MW</w:t>
      </w:r>
      <w:r>
        <w:rPr>
          <w:rFonts w:hint="eastAsia" w:ascii="Times New Roman" w:hAnsi="Times New Roman" w:cs="Times New Roman" w:eastAsiaTheme="minorEastAsia"/>
          <w:sz w:val="24"/>
          <w:szCs w:val="24"/>
          <w:lang w:val="en-US" w:eastAsia="zh-CN"/>
        </w:rPr>
        <w:t>级高效超超临界热电联产项目的发电及供热片区，简称：大机组；东南侧为</w:t>
      </w:r>
      <w:r>
        <w:rPr>
          <w:rFonts w:hint="default" w:ascii="Times New Roman" w:hAnsi="Times New Roman" w:cs="Times New Roman" w:eastAsiaTheme="minorEastAsia"/>
          <w:sz w:val="24"/>
          <w:szCs w:val="24"/>
          <w:lang w:val="en-US" w:eastAsia="zh-CN"/>
        </w:rPr>
        <w:t>2×155MW</w:t>
      </w:r>
      <w:r>
        <w:rPr>
          <w:rFonts w:hint="eastAsia" w:ascii="Times New Roman" w:hAnsi="Times New Roman" w:cs="Times New Roman" w:eastAsiaTheme="minorEastAsia"/>
          <w:sz w:val="24"/>
          <w:szCs w:val="24"/>
          <w:lang w:val="en-US" w:eastAsia="zh-CN"/>
        </w:rPr>
        <w:t xml:space="preserve">热电联产工程的发电及供热片区，简称：小机组。本新建项目位于大铝厂范围内。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聊城信源集团有限公司工业固废综合利用项目，建设地点位于山东省聊城市茌平区信发街道，济邯铁路北，龙山北路西，聊城信源集团有限公司大铝厂现有厂区内，具体位置为东经116.222，北纬36.625，项目总占地面积约为5628m2，新建1条钢渣促进剂生产线，主要原料为电解铝及铝型材生产过程产生的铝灰及除尘灰，项目铝灰及除尘灰收集范围为信发集团旗下3家电解铝企业及1家铝型材企业，根据《国家危险废物名录》（2021年），铝灰及除尘灰属于危险废物，废物类别为HW4</w:t>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lang w:val="en-US" w:eastAsia="zh-CN"/>
        </w:rPr>
        <w:t>有色金属采选和冶炼废物，其中电解铝企业产生铝灰废物代码为321-024-48，铝型材企业产生的铝灰废物代码为321-026-48，电解铝及铝型材企业产生的除尘灰废物代码为321-034-48，设计生产规模为5万吨/年。项目总投资500万元，其中环保投资200万元，利用现有闲置厂房，购置高压压球机、卧式强力混合机、辊式破碎机、起重机、输送机及输送系统、提升机及定量给料机等各类生产及附属设备。将集团内部企业产生的铝灰及除尘灰进行加工利用，制备成钢渣促进剂，项目建成后能够达到4.7万吨铝灰及除尘灰的处理能力，其中铝灰约4万吨、除尘灰约0.7万吨，现已达到年产5万吨钢渣促进剂的生产能力，使废旧资源变废为宝，减少了固体废弃物对环境的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2022年5月6日，聊城信源集团有限公司委托北京中科尚环境及水利水电科技有限公司编制了《聊城信源集团有限公司工业固废综合利用项目环境影响报告书》；2023年1月9日聊城市茌平区行政审批服务局以聊茌行审环审〔2023〕1号文件予以批复。</w:t>
      </w:r>
      <w:r>
        <w:rPr>
          <w:rFonts w:hint="eastAsia" w:ascii="Times New Roman" w:hAnsi="Times New Roman" w:cs="Times New Roman" w:eastAsiaTheme="minorEastAsia"/>
          <w:sz w:val="24"/>
          <w:szCs w:val="24"/>
          <w:lang w:val="en-US" w:eastAsia="zh-CN"/>
        </w:rPr>
        <w:t>本项目现已建成并能够稳定运行。于2023年1月启动验收前工作，</w:t>
      </w:r>
      <w:r>
        <w:rPr>
          <w:rFonts w:hint="default" w:ascii="Times New Roman" w:hAnsi="Times New Roman" w:cs="Times New Roman" w:eastAsiaTheme="minorEastAsia"/>
          <w:sz w:val="24"/>
          <w:szCs w:val="24"/>
          <w:lang w:val="en-US" w:eastAsia="zh-CN"/>
        </w:rPr>
        <w:t>聊城欧高环境检测中心于202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19</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20</w:t>
      </w:r>
      <w:r>
        <w:rPr>
          <w:rFonts w:hint="default" w:ascii="Times New Roman" w:hAnsi="Times New Roman" w:cs="Times New Roman" w:eastAsiaTheme="minorEastAsia"/>
          <w:sz w:val="24"/>
          <w:szCs w:val="24"/>
          <w:lang w:val="en-US" w:eastAsia="zh-CN"/>
        </w:rPr>
        <w:t>日对该项目污染物排放情况和各类环保治理措施的处理能力进行了现场监测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聊城信源集团有限公司工业固废综合利用项目</w:t>
      </w:r>
      <w:r>
        <w:rPr>
          <w:rFonts w:hint="eastAsia" w:ascii="Times New Roman" w:hAnsi="Times New Roman" w:cs="Times New Roman" w:eastAsiaTheme="minorEastAsia"/>
          <w:sz w:val="24"/>
          <w:szCs w:val="24"/>
          <w:lang w:val="en-US" w:eastAsia="zh-CN"/>
        </w:rPr>
        <w:t>（一期）</w:t>
      </w:r>
      <w:r>
        <w:rPr>
          <w:rFonts w:hint="default" w:ascii="Times New Roman" w:hAnsi="Times New Roman" w:cs="Times New Roman" w:eastAsiaTheme="minorEastAsia"/>
          <w:sz w:val="24"/>
          <w:szCs w:val="24"/>
          <w:lang w:val="en-US" w:eastAsia="zh-CN"/>
        </w:rPr>
        <w:t>竣工环境保护验收监测报告</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w:t>
      </w:r>
      <w:r>
        <w:rPr>
          <w:rFonts w:hint="default" w:ascii="Times New Roman" w:hAnsi="Times New Roman" w:cs="Times New Roman" w:eastAsiaTheme="minorEastAsia"/>
          <w:sz w:val="24"/>
          <w:szCs w:val="24"/>
          <w:lang w:val="en-US" w:eastAsia="zh-CN"/>
        </w:rPr>
        <w:t>聊城信源集团有限公司</w:t>
      </w:r>
      <w:r>
        <w:rPr>
          <w:rFonts w:hint="eastAsia" w:ascii="Times New Roman" w:hAnsi="Times New Roman" w:cs="Times New Roman" w:eastAsiaTheme="minorEastAsia"/>
          <w:sz w:val="24"/>
          <w:szCs w:val="24"/>
          <w:lang w:val="en-US" w:eastAsia="zh-CN"/>
        </w:rPr>
        <w:t>在项目实施过程中按照相关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上同意该项目环保设施通过环保验收。</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除环境保护设施外的其他环境保护措施，主要包括制度措施和配套措施等，现将需要说明的措施内容和要求梳理如下：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 xml:space="preserve">2.1.1 </w:t>
      </w:r>
      <w:r>
        <w:rPr>
          <w:rFonts w:hint="default" w:ascii="Times New Roman" w:hAnsi="Times New Roman" w:cs="Times New Roman" w:eastAsiaTheme="minorEastAsia"/>
          <w:b/>
          <w:sz w:val="24"/>
          <w:szCs w:val="24"/>
          <w:lang w:val="en-US" w:eastAsia="zh-CN"/>
        </w:rPr>
        <w:t>环保组织机构及规章制度</w:t>
      </w:r>
      <w:r>
        <w:rPr>
          <w:rFonts w:hint="eastAsia" w:ascii="Times New Roman" w:hAnsi="Times New Roman" w:cs="Times New Roman" w:eastAsiaTheme="minorEastAsia"/>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设置环境管理机构的目的是为了贯彻执行《中华人民共和国环境保护法》的有关法律、法规，全面落实《国务院关于环境保护若干问题的决定》的有关规定，对项目“三废”排放实行监控，确保建设项目经济、环境和社会效益协调发展；协调地方环保部门的工作，为企业的生产管理和环境管理提供保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本项目环境管理依托现有信源大铝厂厂区较为完善的环境管理机构及制度，根据现场调查，企业已经拥有了1套较完善的环境管理机制，实际运营中，各项环境保护规章制度和环境管理措施都得到了执行。</w:t>
      </w:r>
      <w:bookmarkStart w:id="0" w:name="_GoBack"/>
      <w:bookmarkEnd w:id="0"/>
      <w:r>
        <w:rPr>
          <w:rFonts w:hint="default" w:ascii="Times New Roman" w:hAnsi="Times New Roman" w:cs="Times New Roman" w:eastAsiaTheme="minorEastAsia"/>
          <w:sz w:val="24"/>
          <w:szCs w:val="24"/>
          <w:lang w:val="en-US" w:eastAsia="zh-CN"/>
        </w:rPr>
        <w:t xml:space="preserve">在现有环境管理措施的基础上，根据本项目特点提出了进一步完善的建议。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主要包括以下几点：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环境管理部门人员配备：本项目生产车间内需配备兼职环保管理员，协助环保负责人负责本车间的环境监督管理工作，同时对所有环保管理员进行环保培训，不断提高管理水平，一旦发现问题及时向环保负责人汇报。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 制定了环境保护管理规章制度：增加本项目生产车间的环境保护管理规章制度和各部门作业指导书，明确各岗位控制环境因素的操作程序。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 编制了</w:t>
      </w:r>
      <w:r>
        <w:rPr>
          <w:rFonts w:hint="eastAsia" w:ascii="Times New Roman" w:hAnsi="Times New Roman" w:cs="Times New Roman" w:eastAsiaTheme="minorEastAsia"/>
          <w:sz w:val="24"/>
          <w:szCs w:val="24"/>
          <w:lang w:val="en-US" w:eastAsia="zh-CN"/>
        </w:rPr>
        <w:t>本项目</w:t>
      </w:r>
      <w:r>
        <w:rPr>
          <w:rFonts w:hint="default" w:ascii="Times New Roman" w:hAnsi="Times New Roman" w:cs="Times New Roman" w:eastAsiaTheme="minorEastAsia"/>
          <w:sz w:val="24"/>
          <w:szCs w:val="24"/>
          <w:lang w:val="en-US" w:eastAsia="zh-CN"/>
        </w:rPr>
        <w:t xml:space="preserve">突发环境事件应急预案，建立完善的突发环境事件应急体系。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建立了环境监测制度，公司已建立了较完善的污染源自行监测方案，需及时将本项目内容增加至企业的自行监测方案内，对污染物达标排放及总量控制起到有效的监控及管理。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 制定了环境管理培训计划。公司已制定了较为完善的环境管理体系，需及时由环保负责人将本项目增加内容组织全员培训，培训的目的是提高全体员工环境意识、明确关键岗位员工工作与环境的关系、应急准备和响应的要求及其偏离程序可能导致的环境影响，甚至严重的后果。提高公司高层领导及各管理层对环境管理战略意义的认识，提高全公司环境管理的水平。</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 xml:space="preserve">2.1.2 </w:t>
      </w:r>
      <w:r>
        <w:rPr>
          <w:rFonts w:hint="default" w:ascii="Times New Roman" w:hAnsi="Times New Roman" w:cs="Times New Roman" w:eastAsiaTheme="minorEastAsia"/>
          <w:b/>
          <w:sz w:val="24"/>
          <w:szCs w:val="24"/>
          <w:lang w:val="en-US" w:eastAsia="zh-CN"/>
        </w:rPr>
        <w:t>环境风险防范措施</w:t>
      </w:r>
      <w:r>
        <w:rPr>
          <w:rFonts w:hint="eastAsia" w:ascii="Times New Roman" w:hAnsi="Times New Roman" w:cs="Times New Roman" w:eastAsiaTheme="minorEastAsia"/>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1</w:t>
      </w:r>
      <w:r>
        <w:rPr>
          <w:rFonts w:hint="eastAsia" w:ascii="Times New Roman" w:hAnsi="Times New Roman" w:cs="Times New Roman" w:eastAsiaTheme="minorEastAsia"/>
          <w:b/>
          <w:bCs/>
          <w:sz w:val="24"/>
          <w:szCs w:val="24"/>
          <w:lang w:val="en-US" w:eastAsia="zh-CN"/>
        </w:rPr>
        <w:t xml:space="preserve">、危废间贮存过程中风险防范措施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危废间设置为阴凉、远离火种、热源，并防止阳光直射。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 必须配备有专业知识的技术人员，库房及场所应设专人管理，管理人员必须配备可靠的个人安全防护用品。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 原料入库时，应严格检验物品质量、数量、包装情况、有无泄漏。入库后应采取适当的养护措施，在贮存期内，定期检查，发现其品质变化、包装破损、渗漏、稳定剂短缺等，应及时处理。禁止混放不相容危险废物。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危废间内的照明、通风设施应采用防爆型，开关设在仓外。配备相应品种和数量的消防器材。禁止使用易产生火花和机械设备工具。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⑤ 分装和搬运作业要注意个人保护，搬运时要轻装轻卸，防止包装及容器损坏，不可将包装容器倒置。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⑥ 危废间工作人员应进行培训，熟悉储存物品的分类、性质、保管业务知识和安全知识，掌握设备维护保养方法，并经考核合格后持证上岗。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⑦ 配置沙土箱和适当的空容器、工具，以便发生泄漏时收集溢出的物料。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⑧ 加强车辆管理，车辆进出仓库应严格限速，并划定路线，避免发生意外事故。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⑨ 危废间四周设置围堰，连接事故收集池，一旦发生泄漏，通过围堰进行收集，防止外流。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2</w:t>
      </w:r>
      <w:r>
        <w:rPr>
          <w:rFonts w:hint="eastAsia" w:ascii="Times New Roman" w:hAnsi="Times New Roman" w:cs="Times New Roman" w:eastAsiaTheme="minorEastAsia"/>
          <w:b/>
          <w:bCs/>
          <w:sz w:val="24"/>
          <w:szCs w:val="24"/>
          <w:lang w:val="en-US" w:eastAsia="zh-CN"/>
        </w:rPr>
        <w:t xml:space="preserve">、铝灰及除尘灰运输风险及风险管理措施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（1）运输过程采取的风险事故防范措施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铝灰及除尘灰运输单位必须具有危险化学品道路运输经营许可证，运输过程严格遵守《中华人民共和国固体废物污染环境防治法》，并参照《危险废物收集贮存运输技术规范》（HJ 2025-2012）等相关规定。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 铝灰及除尘灰运输车辆必须在车辆前部和后部、车厢两侧设置专用危险化学品警示标识。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 配备专门的铝灰及除尘灰运输车辆，统一配备GPRS系统，由指挥中心即时监控每辆运输车辆的行驶路线，出现偏差时迅速与司机联系、及时纠正。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指挥中心通过车载 GPRS 系统监控车辆行驶速度、连续行驶时间等，一旦超过限值，则迅速与当值司机取得联系、进行纠正。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⑤ 运输车辆上配备应急器材，在出现事故等导致危险废物泄漏时，可以第一时间采取措施控制影响范围。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⑥ 定期组织培训，强化对司机的安全、风险防范与应急的教育，培训合格后才可以进行下一次的运输工作。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⑦ 运输前应事先作出周密的运输计划，安排好运输车辆经过各路段的时间，尽量避免运输车辆通过人员密集区。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⑧ 运输车辆在每次运输前都必须对车辆的车况进行检查，确保车况良好后方可出车，运输车辆负责人应对每辆运输车必须配备的辅助物品进行检查，确保完备，定期对运输车辆进行全面检查，减少和防止危险废物发生泄漏和交通事故的发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⑨ 运输车辆不得搭乘其他无关人员。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⑩ 合理安排运输频次，在气象条件不好的天气，如雨天、台风等，不能运输危险废物，可先贮藏，等天气好转时再进行运输。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（2）运输过程发生交通事故应急措施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运输途中发生翻车、撞车导致危险废物大量外溢、散落时，运送人员应立即与本单位应急事故小组取得联系，并请求当地公安交警、环保或城市应急联动中心的支持。同时运送人员应采取如下应急措施：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立即请求公安交通警察在受污染地区设立隔离区，禁止其他车辆和行人穿过，避免污染物扩散和对行人造成伤害；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 对溢出、散落的危险废物迅速进行收集、清理和消毒处理。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 清理人员在进行清理工作时须穿戴防护服、手套、防护面罩、防护靴等防护用品，清理工作结束后，用具和防护用品均须进行消毒处理；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如果在操作中，清理人员不慎受到伤害，应及时采取处理措施，并致医院接受救治；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⑤ 清洁人员还须对被污染的现场地面进行消毒和清洁处理；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⑥ 对发生的事故采取上述应急措施的同时，处置单位必须向当地环保部门报告事故发生情况。事故处理完毕后，处置单位要向级部门写出书面报告。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（3）事故发生对沿途敏感点影响及防范措施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从本项目铝灰及除尘灰运输路线来看，铝灰及除尘灰运输车辆从各产废单位至项目区的运输路线均为短距离运输，运输路线已避开居民区、学校及医院等敏感点，不涉及高速及大型跨越地表水体的路段，但途中会涉及到城关分干渠及茌中河桥梁，且项目铝灰及除尘灰均采用罐车运输，出现废物泄漏的可能性较小，如若发生泄漏事故，铝灰及除尘灰进入地表水体，遇水会产生大量的氨气，对环境造成影响，为了防止该事故风险的发生，应采取以下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铝灰及除尘灰的运输严格按照《危险化学品安全管理条例》、《道路危险货物运输管理规定》、《汽车危险货物运输规则》和《危险废物收集贮存运输技术规范》等有关危险品运输管理规定执行。人员和运输工具均应满足相关要求，做到预防为主、防患于未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 在跨越水体时减速慢行，确保安全通过。承运人员应接受过必要的业务培训。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 对运输危险废物的车辆使用密闭、结实的容器，并配有明显标志和灭火工具。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运输车辆应接受交通管理人员的指挥调度，在易发生交通事故的气象条件下禁止此类车辆上路。车辆上配有 GPRS 系统，对车辆实行动态监测，以便在出现事故时迅速做出反应。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⑤ 加强跨越地表水体的桥梁运营管理，设置限速标志、划分行车道等，做好日常检修和维护工作，确保桥面路况状态良好，防撞栏安装牢固。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⑥ 桥梁管理部门与公安、消防、环保、水利等有关部门建立协作管理，制定处理事故的应急预案。做到一旦发生危废运输事故，立即启动应急预案，各方协同、互相配合，根据事故类型采取相应的灭火、隔绝、堵漏、拦截、泄压、转移和收集等措施。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3、铝灰及除尘灰装卸、储存及生产过程风险防范措施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（1）装卸过程防范措施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在装卸危险废物前，要预先做好准备工作，了解物品性质，检查装卸搬运的工具是否牢固，不牢固的应予以更换或修理。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装卸场地内一切金属设备均应可靠接地，照明设备应用防爆型。建筑物应聊城信源集团有限公司工业固废综合利用项目环境影响报告书设避雷针，车间内各设施之间的防火间距应符合规范要求。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装卸场地内应设置足够的消防设备，并与其他建（构）筑物保持一定的防火间距。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进入罐区的各种机动车辆必须配备阻火器。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卸料速度不能太快，且要有静电导出设施；当储罐物料达到安全高度时，禁止往储罐强行卸料。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在整个卸车过程中，司机、押运员不得擅自离开操作岗位，也不准在驾驶室内吸烟、喝酒、睡觉、闲谈等，押运员必须自始至终在现场参加安全监护。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⑦ 严禁在生产装置区、卸车站台清洗和处理剩余危险物料作业，整个卸料过程需隔绝水，防止发生二次污染。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⑧</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卸料完毕后，运输车辆应立即离开卸车站台。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（2）储存过程遇水防范及应急措施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根据铝灰及除尘灰的检测报告，铝灰及除尘灰中含氮化铝，遇水发生水解反应，易产生氨气，因此，要妥善贮存铝灰及除尘灰，做好储存区防雨、防水工作，不能接触水。以下为具体的防范措施：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 利用湿抹布、拖把对车间进行清洁，禁止对生产车间进行冲洗；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 铝灰及除尘灰储罐周围保持地面干燥；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 检查所有车间屋顶、以往的漏雨点是否己经被有效密封；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 检查车间门窗关闭后密封是否完整；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⑤ 检查车间通风设运作是否正常；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⑥ 检查车间排水设施是否完好、被堵。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如铝灰及除尘灰遇水产生大量氨气，则应急措施如下：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迅速用打湿的毛巾遮挡口鼻，迅速远离现场（上风向50米以外，下风向则越远越好）。发现身边有人员氨气中毒时，带离现场后使其静卧，吸氧；眼、皮肤被氨气灼伤可用清水或 2%的硼酸溶液彻底冲洗，滴抗生素眼药水，并送医院治疗。另外，建议建设单位在铝灰及除尘灰储存区安装点型气体探测器，并配置蜂鸣值较高的声光报警器，在无有害气体的监控室中安装报警控制器，报警控制器与点型气体探测器形成气体监控系统，一旦铝灰及除尘灰遇水产生大量氨气，气体监控系统发出警报，以提醒建设单位相关人员采取紧急措施，采取措施规避风险。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（3）铝灰及除尘灰生产过程粉尘爆炸防范及应急措施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采用有效的通风和除尘措施，严禁吸烟及明火作业。在设备外壳设泄压活门或其他装置，采用爆炸遏制系统等。对有粉尘爆炸危险的厂房，必须严格按照防爆技术等级进行设计，并单独设置通风、排尘系统。要经常打扫铝灰及除尘灰储存区地面和设备，防止铝灰及除尘灰飞扬和聚集。保证系统要有很好的密闭性，必要时对密闭容器或管道中的可燃性铝灰及除尘灰粉尘充入氮气、二氧化碳等气体，以减少氧气的含量，抑制粉尘的爆炸。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常用的防护措施或方案主要有四种：遏制、泄放、抑制、隔离。其中泄放分为正常情况下的压力泄放和无火焰泄放；隔离分为机械隔离和化学隔离。主要防护设备包括：防爆板、防爆门、无焰泄放系统、隔离阀以及抑爆系统。在实际应用中，并不是每一种防护措施单独使用，往往采用多种防护措施进行组合运用，以达到更可靠更经济的防护目的。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4、废气处理设备发生故障风险事故预防措施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（1）定期检查烟气管道是否破裂，一旦发生破裂及时维修。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（2）定期检查引风机或负压收集装置的运行情况，发生故障要及时维修保障收集效率，使用年限久的引风机或负压收集装置需定期更换，保障收集效率。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（3）配备应急电源，作为突然停电时车间通风用电供应。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（4）项目必须配备具有或高于环评要求的污染物去除效率的废气处理措施；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（5）废气治理设施必须由专人负责进行定期的检查、维修、保养，在日常的生产过程中，一旦发生环保设施故障情况，必须立即停止生产，待环保设施可正常运行之后才能恢复生产；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（6）废气处理设施应配备备用电源，保障装置的正常运行。布袋除尘设施应注意检查布袋完好性，及时跟换布袋以保证除尘效率。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5、火灾爆炸事故的应急处置措施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（1）现场人员判断火灾大小，小的火灾能够扑灭的，立即用扫把、消防沙、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灭火器等将火焰扑灭，室内尽量不采用消防水灭火。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（2）对于火灾较大不能立即扑灭的，立即报告车间和公司组织人员进行处置。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（3）对于火灾较大不能立即扑灭的，在报告的同时组织现场无关人员撤离现场，扑救火灾切忌盲目灭火，防止发生大的火灾爆炸后造成伤亡。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（4）接到报警后应急救援小组应立即赶赴现场履行各自职责。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（5）如果公司力量无法利用现有设施和人员控制住事态进一步扩大，则上报政府消防、安全和环保部门请求支援。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（6）根据起火物料特性，选择合适的灭火方法，应首先扑灭外围被火源引燃的可燃物火势，切断火势蔓延途径，控制燃烧范围，并积极抢救受伤和被困人员。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7）如果火势中有容器或有受到火焰辐射热威胁的容器，能疏散的应尽量在水枪的掩护下疏散到安全地带，不能疏散的应部署足够的水枪进行冷却保护。为防止容器爆裂伤人，进行冷却的人员应尽量采用低姿射水或利用现场坚实的掩蔽体防护。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8）现场指挥应密切注意各种危险征兆，遇有火势较长时间未能恢复稳定燃烧或受热辐射的容器安全阀火焰变亮耀眼、尖叫、晃动等爆裂征兆时，指挥员必须适时做出准确判断，及时下达撤退命令。现场人员看到或听到事先规定的撤退信号后，应迅速撤退至安全地带。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9）扑救毒害性或燃烧产物毒害性较强的易燃液体火灾,扑救人员必须佩戴防护面具，采取防护措施。对特殊物品的火灾，应使用专用防护服。考虑到过滤式防毒面具防毒范围的局限性，在扑救毒害品火灾时应尽量使用隔绝式空气面具。为了在火场上能正确使用和适应，平时应进行严格的适应性训练。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10）扑救具有沸溢和喷溅危险的液体火灾，必须注意计算可能发生沸溢、喷溅的时间和观察是否有沸溢、喷溅的征兆。一旦现场指挥发现危险征兆时应迅即作出准确判断，及时下达撤退命令，避免造成人员伤亡和装备损失。扑救人员看到或听到统一撤退信号后，应立即撤至安全地带。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11）在罐区、装置区等发生火灾爆炸时，可能产生的次生污染为火灾消防液、消防土及燃烧废气。消防液应及时导入事故水池中，防止外泄污染水体和土壤。对事故水池内的废水判定后不属于危险废物时，可泵入集团内污水处理站处理。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6、事故废水风险防范措施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按照《关于构建全省环境安全防控体系的实施意见》（鲁环发</w:t>
      </w:r>
      <w:r>
        <w:rPr>
          <w:rFonts w:hint="eastAsia"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2009</w:t>
      </w:r>
      <w:r>
        <w:rPr>
          <w:rFonts w:hint="eastAsia"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 xml:space="preserve">80号），项目三级应急防控体系如下：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一级防控措施：将污染物控制在处置区范围内，在危废间（围堰高度10</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cm）、润滑油存放区设置围堰，围堰容积大于围堰内最大容器容积，确保处置区内最大容器泄漏后化学品不会溢出到围堰外。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二级防控措施：为控制事故时危废间围堰损坏造成的事故水就近导入小铝厂事故水池（有效容积为140</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m</w:t>
      </w:r>
      <w:r>
        <w:rPr>
          <w:rFonts w:hint="default" w:ascii="Times New Roman" w:hAnsi="Times New Roman" w:cs="Times New Roman" w:eastAsiaTheme="minorEastAsia"/>
          <w:sz w:val="24"/>
          <w:szCs w:val="24"/>
          <w:vertAlign w:val="superscript"/>
          <w:lang w:val="en-US" w:eastAsia="zh-CN"/>
        </w:rPr>
        <w:t>3</w:t>
      </w:r>
      <w:r>
        <w:rPr>
          <w:rFonts w:hint="default" w:ascii="Times New Roman" w:hAnsi="Times New Roman" w:cs="Times New Roman" w:eastAsiaTheme="minorEastAsia"/>
          <w:sz w:val="24"/>
          <w:szCs w:val="24"/>
          <w:lang w:val="en-US" w:eastAsia="zh-CN"/>
        </w:rPr>
        <w:t>），生产车间（含润滑油存放区）事故水和消防废水泄漏可能对地表水体造成的污染，事故水和消防废水通过导排管线自流进入本项目新建事故水池</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有效容积为150</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m</w:t>
      </w:r>
      <w:r>
        <w:rPr>
          <w:rFonts w:hint="default"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 xml:space="preserve">内。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三级防控措施：对厂区污水及雨水总排口设置切断措施，封堵污染废水在厂区围墙之内，事故结束后事故废水经判定不属于危险废物时，可进入集团内污水处理站处理，防止事故情况下物料经雨水及污水管线进入地表水体，杜绝废水不经处理排入外环境。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 xml:space="preserve">2.1.3 </w:t>
      </w:r>
      <w:r>
        <w:rPr>
          <w:rFonts w:hint="default" w:ascii="Times New Roman" w:hAnsi="Times New Roman" w:cs="Times New Roman" w:eastAsiaTheme="minorEastAsia"/>
          <w:b/>
          <w:sz w:val="24"/>
          <w:szCs w:val="24"/>
          <w:lang w:val="en-US" w:eastAsia="zh-CN"/>
        </w:rPr>
        <w:t>环境监测计划</w:t>
      </w:r>
      <w:r>
        <w:rPr>
          <w:rFonts w:hint="eastAsia" w:ascii="Times New Roman" w:hAnsi="Times New Roman" w:cs="Times New Roman" w:eastAsiaTheme="minorEastAsia"/>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1</w:t>
      </w:r>
      <w:r>
        <w:rPr>
          <w:rFonts w:hint="eastAsia" w:ascii="Times New Roman" w:hAnsi="Times New Roman" w:cs="Times New Roman" w:eastAsiaTheme="minorEastAsia"/>
          <w:b/>
          <w:bCs/>
          <w:sz w:val="24"/>
          <w:szCs w:val="24"/>
          <w:lang w:val="en-US" w:eastAsia="zh-CN"/>
        </w:rPr>
        <w:t>、污染源监测计划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根据项目排污特点及实际情况，建设单位需严格按照《排污单位自行监测技术指南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）、《排污单位自行监测技术指南 工业固体废物和危险废物治理》（</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1250-2022</w:t>
      </w:r>
      <w:r>
        <w:rPr>
          <w:rFonts w:hint="eastAsia" w:ascii="Times New Roman" w:hAnsi="Times New Roman" w:cs="Times New Roman" w:eastAsiaTheme="minorEastAsia"/>
          <w:sz w:val="24"/>
          <w:szCs w:val="24"/>
          <w:lang w:val="en-US" w:eastAsia="zh-CN"/>
        </w:rPr>
        <w:t>）、《固定污染源废气监测点位设置技术规范》（</w:t>
      </w:r>
      <w:r>
        <w:rPr>
          <w:rFonts w:hint="default" w:ascii="Times New Roman" w:hAnsi="Times New Roman" w:cs="Times New Roman" w:eastAsiaTheme="minorEastAsia"/>
          <w:sz w:val="24"/>
          <w:szCs w:val="24"/>
          <w:lang w:val="en-US" w:eastAsia="zh-CN"/>
        </w:rPr>
        <w:t>DB37/T</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3535-2019</w:t>
      </w:r>
      <w:r>
        <w:rPr>
          <w:rFonts w:hint="eastAsia" w:ascii="Times New Roman" w:hAnsi="Times New Roman" w:cs="Times New Roman" w:eastAsiaTheme="minorEastAsia"/>
          <w:sz w:val="24"/>
          <w:szCs w:val="24"/>
          <w:lang w:val="en-US" w:eastAsia="zh-CN"/>
        </w:rPr>
        <w:t>）等文件的要求制定和执行监测计划，具体见表1。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表1  项目自行监测计划</w:t>
      </w:r>
      <w:r>
        <w:rPr>
          <w:rFonts w:hint="default" w:ascii="Times New Roman" w:hAnsi="Times New Roman" w:cs="Times New Roman"/>
          <w:b/>
          <w:bCs/>
          <w:color w:val="000000"/>
          <w:kern w:val="0"/>
          <w:sz w:val="24"/>
          <w:szCs w:val="24"/>
          <w:lang w:val="en-US" w:eastAsia="zh-CN" w:bidi="ar"/>
        </w:rPr>
        <w:t xml:space="preserve"> </w:t>
      </w:r>
    </w:p>
    <w:tbl>
      <w:tblPr>
        <w:tblStyle w:val="21"/>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150"/>
        <w:gridCol w:w="3264"/>
        <w:gridCol w:w="2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项目</w:t>
            </w:r>
          </w:p>
        </w:tc>
        <w:tc>
          <w:tcPr>
            <w:tcW w:w="2150"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监测</w:t>
            </w:r>
            <w:r>
              <w:rPr>
                <w:rFonts w:hint="eastAsia" w:ascii="Times New Roman" w:hAnsi="Times New Roman" w:cs="Times New Roman"/>
                <w:color w:val="000000"/>
                <w:sz w:val="21"/>
                <w:szCs w:val="21"/>
                <w:lang w:eastAsia="zh-CN"/>
              </w:rPr>
              <w:t>布点</w:t>
            </w:r>
          </w:p>
        </w:tc>
        <w:tc>
          <w:tcPr>
            <w:tcW w:w="3264"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监测内容</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w:t>
            </w:r>
            <w:r>
              <w:rPr>
                <w:rFonts w:hint="eastAsia" w:ascii="Times New Roman" w:hAnsi="Times New Roman" w:cs="Times New Roman"/>
                <w:color w:val="000000"/>
                <w:sz w:val="21"/>
                <w:szCs w:val="21"/>
                <w:lang w:eastAsia="zh-CN"/>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Merge w:val="restart"/>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废气</w:t>
            </w:r>
          </w:p>
        </w:tc>
        <w:tc>
          <w:tcPr>
            <w:tcW w:w="2150"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DA062排气筒</w:t>
            </w:r>
          </w:p>
        </w:tc>
        <w:tc>
          <w:tcPr>
            <w:tcW w:w="3264"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颗粒物、氟化物、氨</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w:t>
            </w:r>
            <w:r>
              <w:rPr>
                <w:rFonts w:hint="default" w:ascii="Times New Roman" w:hAnsi="Times New Roman" w:cs="Times New Roman"/>
                <w:color w:val="000000"/>
                <w:sz w:val="21"/>
                <w:szCs w:val="21"/>
                <w:lang w:val="en-US" w:eastAsia="zh-CN"/>
              </w:rPr>
              <w:t>/</w:t>
            </w:r>
            <w:r>
              <w:rPr>
                <w:rFonts w:hint="eastAsia" w:ascii="Times New Roman" w:hAnsi="Times New Roman" w:cs="Times New Roman"/>
                <w:color w:val="000000"/>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Merge w:val="continue"/>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p>
        </w:tc>
        <w:tc>
          <w:tcPr>
            <w:tcW w:w="2150"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厂区无组织</w:t>
            </w:r>
          </w:p>
        </w:tc>
        <w:tc>
          <w:tcPr>
            <w:tcW w:w="3264"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颗粒物、氟化物、氨</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w:t>
            </w:r>
            <w:r>
              <w:rPr>
                <w:rFonts w:hint="default" w:ascii="Times New Roman" w:hAnsi="Times New Roman" w:cs="Times New Roman"/>
                <w:color w:val="000000"/>
                <w:sz w:val="21"/>
                <w:szCs w:val="21"/>
                <w:lang w:val="en-US" w:eastAsia="zh-CN"/>
              </w:rPr>
              <w:t>/</w:t>
            </w:r>
            <w:r>
              <w:rPr>
                <w:rFonts w:hint="eastAsia" w:ascii="Times New Roman" w:hAnsi="Times New Roman" w:cs="Times New Roman"/>
                <w:color w:val="000000"/>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固废</w:t>
            </w:r>
          </w:p>
        </w:tc>
        <w:tc>
          <w:tcPr>
            <w:tcW w:w="5414" w:type="dxa"/>
            <w:gridSpan w:val="2"/>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统计厂内固体废弃物种类、产生量、处理方式（去向）等</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每月</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噪声</w:t>
            </w:r>
          </w:p>
        </w:tc>
        <w:tc>
          <w:tcPr>
            <w:tcW w:w="2150"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eastAsia="zh-CN"/>
              </w:rPr>
              <w:t>厂界外</w:t>
            </w:r>
            <w:r>
              <w:rPr>
                <w:rFonts w:hint="eastAsia" w:ascii="Times New Roman" w:hAnsi="Times New Roman" w:cs="Times New Roman"/>
                <w:color w:val="000000"/>
                <w:sz w:val="21"/>
                <w:szCs w:val="21"/>
                <w:lang w:val="en-US" w:eastAsia="zh-CN"/>
              </w:rPr>
              <w:t>1 m</w:t>
            </w:r>
          </w:p>
        </w:tc>
        <w:tc>
          <w:tcPr>
            <w:tcW w:w="3264"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等效连续</w:t>
            </w:r>
            <w:r>
              <w:rPr>
                <w:rFonts w:hint="default" w:ascii="Times New Roman" w:hAnsi="Times New Roman" w:cs="Times New Roman"/>
                <w:color w:val="000000"/>
                <w:sz w:val="21"/>
                <w:szCs w:val="21"/>
                <w:lang w:val="en-US" w:eastAsia="zh-CN"/>
              </w:rPr>
              <w:t>A</w:t>
            </w:r>
            <w:r>
              <w:rPr>
                <w:rFonts w:hint="eastAsia" w:ascii="Times New Roman" w:hAnsi="Times New Roman" w:cs="Times New Roman"/>
                <w:color w:val="000000"/>
                <w:sz w:val="21"/>
                <w:szCs w:val="21"/>
                <w:lang w:val="en-US" w:eastAsia="zh-CN"/>
              </w:rPr>
              <w:t>声级</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每季度昼、夜各</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tcBorders>
              <w:tl2br w:val="nil"/>
              <w:tr2bl w:val="nil"/>
            </w:tcBorders>
            <w:noWrap w:val="0"/>
            <w:vAlign w:val="center"/>
          </w:tcPr>
          <w:p>
            <w:pPr>
              <w:pStyle w:val="41"/>
              <w:spacing w:line="240" w:lineRule="auto"/>
              <w:ind w:firstLine="0" w:firstLineChars="0"/>
              <w:jc w:val="center"/>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雨水</w:t>
            </w:r>
          </w:p>
        </w:tc>
        <w:tc>
          <w:tcPr>
            <w:tcW w:w="2150" w:type="dxa"/>
            <w:tcBorders>
              <w:tl2br w:val="nil"/>
              <w:tr2bl w:val="nil"/>
            </w:tcBorders>
            <w:noWrap w:val="0"/>
            <w:vAlign w:val="center"/>
          </w:tcPr>
          <w:p>
            <w:pPr>
              <w:pStyle w:val="41"/>
              <w:spacing w:line="240" w:lineRule="auto"/>
              <w:ind w:firstLine="0" w:firstLineChars="0"/>
              <w:jc w:val="center"/>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雨水排放口</w:t>
            </w:r>
          </w:p>
        </w:tc>
        <w:tc>
          <w:tcPr>
            <w:tcW w:w="3264"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化学需氧量、悬浮物、氟化物</w:t>
            </w:r>
          </w:p>
        </w:tc>
        <w:tc>
          <w:tcPr>
            <w:tcW w:w="2055" w:type="dxa"/>
            <w:tcBorders>
              <w:tl2br w:val="nil"/>
              <w:tr2bl w:val="nil"/>
            </w:tcBorders>
            <w:noWrap w:val="0"/>
            <w:vAlign w:val="center"/>
          </w:tcPr>
          <w:p>
            <w:pPr>
              <w:pStyle w:val="41"/>
              <w:spacing w:line="240" w:lineRule="auto"/>
              <w:ind w:firstLine="0" w:firstLineChars="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有流动水排放时按月监测。若监测一年无异常情况，可放宽至每季度开展一次监测</w:t>
            </w:r>
          </w:p>
        </w:tc>
      </w:tr>
    </w:tbl>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outlineLvl w:val="9"/>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备注：</w:t>
      </w:r>
      <w:r>
        <w:rPr>
          <w:rFonts w:hint="default" w:ascii="Times New Roman" w:hAnsi="Times New Roman" w:cs="Times New Roman" w:eastAsiaTheme="minorEastAsia"/>
          <w:b/>
          <w:bCs/>
          <w:sz w:val="21"/>
          <w:szCs w:val="21"/>
          <w:lang w:val="en-US" w:eastAsia="zh-CN"/>
        </w:rPr>
        <w:t>*</w:t>
      </w:r>
      <w:r>
        <w:rPr>
          <w:rFonts w:hint="eastAsia" w:ascii="Times New Roman" w:hAnsi="Times New Roman" w:cs="Times New Roman" w:eastAsiaTheme="minorEastAsia"/>
          <w:b/>
          <w:bCs/>
          <w:sz w:val="21"/>
          <w:szCs w:val="21"/>
          <w:lang w:val="en-US" w:eastAsia="zh-CN"/>
        </w:rPr>
        <w:t xml:space="preserve">有组织监测频率参照 </w:t>
      </w:r>
      <w:r>
        <w:rPr>
          <w:rFonts w:hint="default" w:ascii="Times New Roman" w:hAnsi="Times New Roman" w:cs="Times New Roman" w:eastAsiaTheme="minorEastAsia"/>
          <w:b/>
          <w:bCs/>
          <w:sz w:val="21"/>
          <w:szCs w:val="21"/>
          <w:lang w:val="en-US" w:eastAsia="zh-CN"/>
        </w:rPr>
        <w:t xml:space="preserve">HJ1250-2022 </w:t>
      </w:r>
      <w:r>
        <w:rPr>
          <w:rFonts w:hint="eastAsia" w:ascii="Times New Roman" w:hAnsi="Times New Roman" w:cs="Times New Roman" w:eastAsiaTheme="minorEastAsia"/>
          <w:b/>
          <w:bCs/>
          <w:sz w:val="21"/>
          <w:szCs w:val="21"/>
          <w:lang w:val="en-US" w:eastAsia="zh-CN"/>
        </w:rPr>
        <w:t xml:space="preserve">中表 </w:t>
      </w:r>
      <w:r>
        <w:rPr>
          <w:rFonts w:hint="default" w:ascii="Times New Roman" w:hAnsi="Times New Roman" w:cs="Times New Roman" w:eastAsiaTheme="minorEastAsia"/>
          <w:b/>
          <w:bCs/>
          <w:sz w:val="21"/>
          <w:szCs w:val="21"/>
          <w:lang w:val="en-US" w:eastAsia="zh-CN"/>
        </w:rPr>
        <w:t xml:space="preserve">5 </w:t>
      </w:r>
      <w:r>
        <w:rPr>
          <w:rFonts w:hint="eastAsia" w:ascii="Times New Roman" w:hAnsi="Times New Roman" w:cs="Times New Roman" w:eastAsiaTheme="minorEastAsia"/>
          <w:b/>
          <w:bCs/>
          <w:sz w:val="21"/>
          <w:szCs w:val="21"/>
          <w:lang w:val="en-US" w:eastAsia="zh-CN"/>
        </w:rPr>
        <w:t xml:space="preserve">危险废物利用单位的监测频次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上述污染源监测企业不具备监测条件，直接委托有资质的监测单位进行监测，监测结果以报表形式上报当地环境保护主管部门。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2</w:t>
      </w:r>
      <w:r>
        <w:rPr>
          <w:rFonts w:hint="eastAsia" w:ascii="Times New Roman" w:hAnsi="Times New Roman" w:cs="Times New Roman" w:eastAsiaTheme="minorEastAsia"/>
          <w:b/>
          <w:bCs/>
          <w:sz w:val="24"/>
          <w:szCs w:val="24"/>
          <w:lang w:val="en-US" w:eastAsia="zh-CN"/>
        </w:rPr>
        <w:t xml:space="preserve">、环境质量监测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表2 </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Times New Roman" w:hAnsi="Times New Roman" w:eastAsia="宋体" w:cs="Times New Roman"/>
          <w:b/>
          <w:bCs/>
          <w:color w:val="000000"/>
          <w:kern w:val="0"/>
          <w:sz w:val="24"/>
          <w:szCs w:val="24"/>
          <w:lang w:val="en-US" w:eastAsia="zh-CN" w:bidi="ar"/>
        </w:rPr>
        <w:t xml:space="preserve">环境质量监测方案一览表 </w:t>
      </w:r>
    </w:p>
    <w:tbl>
      <w:tblPr>
        <w:tblStyle w:val="2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163"/>
        <w:gridCol w:w="21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tcBorders>
              <w:top w:val="single" w:color="auto" w:sz="12" w:space="0"/>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环境要素</w:t>
            </w:r>
          </w:p>
        </w:tc>
        <w:tc>
          <w:tcPr>
            <w:tcW w:w="2163" w:type="dxa"/>
            <w:tcBorders>
              <w:top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监测点位</w:t>
            </w:r>
          </w:p>
        </w:tc>
        <w:tc>
          <w:tcPr>
            <w:tcW w:w="2196" w:type="dxa"/>
            <w:tcBorders>
              <w:top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监测因子</w:t>
            </w:r>
          </w:p>
        </w:tc>
        <w:tc>
          <w:tcPr>
            <w:tcW w:w="2164" w:type="dxa"/>
            <w:tcBorders>
              <w:top w:val="single" w:color="auto" w:sz="12" w:space="0"/>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tcBorders>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地下水</w:t>
            </w:r>
          </w:p>
        </w:tc>
        <w:tc>
          <w:tcPr>
            <w:tcW w:w="2163"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厂区监控井</w:t>
            </w:r>
          </w:p>
        </w:tc>
        <w:tc>
          <w:tcPr>
            <w:tcW w:w="2196"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pH</w:t>
            </w:r>
            <w:r>
              <w:rPr>
                <w:rFonts w:hint="eastAsia" w:ascii="Times New Roman" w:hAnsi="Times New Roman" w:cs="Times New Roman"/>
                <w:color w:val="000000"/>
                <w:sz w:val="21"/>
                <w:szCs w:val="21"/>
                <w:lang w:val="en-US" w:eastAsia="zh-CN"/>
              </w:rPr>
              <w:t>、氨氮、硝酸盐、亚硝酸盐、挥发性酚类、氰化物、砷、汞、铬（六价）、总硬度、铅、镉、铁、锰、溶解性总固体、高锰酸盐指数、硫酸盐、氯化物、总大肠菌群、细菌总数、氟化物</w:t>
            </w:r>
          </w:p>
        </w:tc>
        <w:tc>
          <w:tcPr>
            <w:tcW w:w="2164" w:type="dxa"/>
            <w:tcBorders>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每年开展</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vMerge w:val="restart"/>
            <w:tcBorders>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土壤</w:t>
            </w:r>
          </w:p>
        </w:tc>
        <w:tc>
          <w:tcPr>
            <w:tcW w:w="2163"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生产车间附近</w:t>
            </w:r>
          </w:p>
        </w:tc>
        <w:tc>
          <w:tcPr>
            <w:tcW w:w="2196"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GB</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lang w:val="en-US" w:eastAsia="zh-CN"/>
              </w:rPr>
              <w:t>36600-2018</w:t>
            </w:r>
            <w:r>
              <w:rPr>
                <w:rFonts w:hint="eastAsia" w:ascii="Times New Roman" w:hAnsi="Times New Roman" w:cs="Times New Roman"/>
                <w:color w:val="000000"/>
                <w:sz w:val="21"/>
                <w:szCs w:val="21"/>
                <w:lang w:val="en-US" w:eastAsia="zh-CN"/>
              </w:rPr>
              <w:t>表</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中</w:t>
            </w:r>
            <w:r>
              <w:rPr>
                <w:rFonts w:hint="default" w:ascii="Times New Roman" w:hAnsi="Times New Roman" w:cs="Times New Roman"/>
                <w:color w:val="000000"/>
                <w:sz w:val="21"/>
                <w:szCs w:val="21"/>
                <w:lang w:val="en-US" w:eastAsia="zh-CN"/>
              </w:rPr>
              <w:t>45</w:t>
            </w:r>
            <w:r>
              <w:rPr>
                <w:rFonts w:hint="eastAsia" w:ascii="Times New Roman" w:hAnsi="Times New Roman" w:cs="Times New Roman"/>
                <w:color w:val="000000"/>
                <w:sz w:val="21"/>
                <w:szCs w:val="21"/>
                <w:lang w:val="en-US" w:eastAsia="zh-CN"/>
              </w:rPr>
              <w:t>项基本因子、氟化物</w:t>
            </w:r>
          </w:p>
        </w:tc>
        <w:tc>
          <w:tcPr>
            <w:tcW w:w="2164" w:type="dxa"/>
            <w:vMerge w:val="restart"/>
            <w:tcBorders>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每</w:t>
            </w:r>
            <w:r>
              <w:rPr>
                <w:rFonts w:hint="default" w:ascii="Times New Roman" w:hAnsi="Times New Roman" w:cs="Times New Roman"/>
                <w:color w:val="000000"/>
                <w:sz w:val="21"/>
                <w:szCs w:val="21"/>
                <w:lang w:val="en-US" w:eastAsia="zh-CN"/>
              </w:rPr>
              <w:t>3</w:t>
            </w:r>
            <w:r>
              <w:rPr>
                <w:rFonts w:hint="eastAsia" w:ascii="Times New Roman" w:hAnsi="Times New Roman" w:cs="Times New Roman"/>
                <w:color w:val="000000"/>
                <w:sz w:val="21"/>
                <w:szCs w:val="21"/>
                <w:lang w:val="en-US" w:eastAsia="zh-CN"/>
              </w:rPr>
              <w:t>年开展</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vMerge w:val="continue"/>
            <w:tcBorders>
              <w:left w:val="single" w:color="auto" w:sz="12" w:space="0"/>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c>
          <w:tcPr>
            <w:tcW w:w="2163" w:type="dxa"/>
            <w:tcBorders>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厂区外最近耕地</w:t>
            </w:r>
          </w:p>
        </w:tc>
        <w:tc>
          <w:tcPr>
            <w:tcW w:w="2196" w:type="dxa"/>
            <w:tcBorders>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pH</w:t>
            </w:r>
            <w:r>
              <w:rPr>
                <w:rFonts w:hint="eastAsia" w:ascii="Times New Roman" w:hAnsi="Times New Roman" w:cs="Times New Roman"/>
                <w:color w:val="000000"/>
                <w:sz w:val="21"/>
                <w:szCs w:val="21"/>
                <w:lang w:val="en-US" w:eastAsia="zh-CN"/>
              </w:rPr>
              <w:t>、镉、汞、砷、铅、铬、铜、镍、锌</w:t>
            </w:r>
          </w:p>
        </w:tc>
        <w:tc>
          <w:tcPr>
            <w:tcW w:w="2164" w:type="dxa"/>
            <w:vMerge w:val="continue"/>
            <w:tcBorders>
              <w:bottom w:val="single" w:color="auto" w:sz="12" w:space="0"/>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3</w:t>
      </w:r>
      <w:r>
        <w:rPr>
          <w:rFonts w:hint="eastAsia" w:ascii="Times New Roman" w:hAnsi="Times New Roman" w:cs="Times New Roman" w:eastAsiaTheme="minorEastAsia"/>
          <w:b/>
          <w:bCs/>
          <w:sz w:val="24"/>
          <w:szCs w:val="24"/>
          <w:lang w:val="en-US" w:eastAsia="zh-CN"/>
        </w:rPr>
        <w:t xml:space="preserve">、应急监测方案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为及时了解本企业事故排放对外界环境的影响，便于上级部门的指挥和调度，发生较大污染事件时，委托有资质的监测单位进行环境监测，具体监测方案和计划见表3。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表3  应急环境监测方案一览表 </w:t>
      </w:r>
    </w:p>
    <w:tbl>
      <w:tblPr>
        <w:tblStyle w:val="2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163"/>
        <w:gridCol w:w="21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tcBorders>
              <w:top w:val="single" w:color="auto" w:sz="12" w:space="0"/>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环境要素</w:t>
            </w:r>
          </w:p>
        </w:tc>
        <w:tc>
          <w:tcPr>
            <w:tcW w:w="2163" w:type="dxa"/>
            <w:tcBorders>
              <w:top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监测点位置</w:t>
            </w:r>
          </w:p>
        </w:tc>
        <w:tc>
          <w:tcPr>
            <w:tcW w:w="2196" w:type="dxa"/>
            <w:tcBorders>
              <w:top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监测项目</w:t>
            </w:r>
          </w:p>
        </w:tc>
        <w:tc>
          <w:tcPr>
            <w:tcW w:w="2164" w:type="dxa"/>
            <w:tcBorders>
              <w:top w:val="single" w:color="auto" w:sz="12" w:space="0"/>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vMerge w:val="restart"/>
            <w:tcBorders>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环境空气</w:t>
            </w:r>
          </w:p>
        </w:tc>
        <w:tc>
          <w:tcPr>
            <w:tcW w:w="2163"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厂界下风向</w:t>
            </w:r>
          </w:p>
        </w:tc>
        <w:tc>
          <w:tcPr>
            <w:tcW w:w="2196" w:type="dxa"/>
            <w:vMerge w:val="restart"/>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根据事故类型，针对监测：泄漏、火灾等事故：氟化物、氨、</w:t>
            </w:r>
            <w:r>
              <w:rPr>
                <w:rFonts w:hint="default" w:ascii="Times New Roman" w:hAnsi="Times New Roman" w:cs="Times New Roman"/>
                <w:color w:val="000000"/>
                <w:sz w:val="21"/>
                <w:szCs w:val="21"/>
                <w:lang w:val="en-US" w:eastAsia="zh-CN"/>
              </w:rPr>
              <w:t>CO</w:t>
            </w:r>
            <w:r>
              <w:rPr>
                <w:rFonts w:hint="eastAsia" w:ascii="Times New Roman" w:hAnsi="Times New Roman" w:cs="Times New Roman"/>
                <w:color w:val="000000"/>
                <w:sz w:val="21"/>
                <w:szCs w:val="21"/>
                <w:lang w:val="en-US" w:eastAsia="zh-CN"/>
              </w:rPr>
              <w:t>等；</w:t>
            </w:r>
          </w:p>
        </w:tc>
        <w:tc>
          <w:tcPr>
            <w:tcW w:w="2164" w:type="dxa"/>
            <w:vMerge w:val="restart"/>
            <w:tcBorders>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事故发生后每</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小时取样进行监测，事故后</w:t>
            </w:r>
            <w:r>
              <w:rPr>
                <w:rFonts w:hint="default"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lang w:val="en-US" w:eastAsia="zh-CN"/>
              </w:rPr>
              <w:t>小时、</w:t>
            </w:r>
            <w:r>
              <w:rPr>
                <w:rFonts w:hint="default" w:ascii="Times New Roman" w:hAnsi="Times New Roman" w:cs="Times New Roman"/>
                <w:color w:val="000000"/>
                <w:sz w:val="21"/>
                <w:szCs w:val="21"/>
                <w:lang w:val="en-US" w:eastAsia="zh-CN"/>
              </w:rPr>
              <w:t>10</w:t>
            </w:r>
            <w:r>
              <w:rPr>
                <w:rFonts w:hint="eastAsia" w:ascii="Times New Roman" w:hAnsi="Times New Roman" w:cs="Times New Roman"/>
                <w:color w:val="000000"/>
                <w:sz w:val="21"/>
                <w:szCs w:val="21"/>
                <w:lang w:val="en-US" w:eastAsia="zh-CN"/>
              </w:rPr>
              <w:t>小时、</w:t>
            </w:r>
            <w:r>
              <w:rPr>
                <w:rFonts w:hint="default" w:ascii="Times New Roman" w:hAnsi="Times New Roman" w:cs="Times New Roman"/>
                <w:color w:val="000000"/>
                <w:sz w:val="21"/>
                <w:szCs w:val="21"/>
                <w:lang w:val="en-US" w:eastAsia="zh-CN"/>
              </w:rPr>
              <w:t>24</w:t>
            </w:r>
            <w:r>
              <w:rPr>
                <w:rFonts w:hint="eastAsia" w:ascii="Times New Roman" w:hAnsi="Times New Roman" w:cs="Times New Roman"/>
                <w:color w:val="000000"/>
                <w:sz w:val="21"/>
                <w:szCs w:val="21"/>
                <w:lang w:val="en-US" w:eastAsia="zh-CN"/>
              </w:rPr>
              <w:t>小时各监测</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vMerge w:val="continue"/>
            <w:tcBorders>
              <w:lef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c>
          <w:tcPr>
            <w:tcW w:w="2163" w:type="dxa"/>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下风向最近敏感点</w:t>
            </w:r>
          </w:p>
        </w:tc>
        <w:tc>
          <w:tcPr>
            <w:tcW w:w="2196" w:type="dxa"/>
            <w:vMerge w:val="continue"/>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c>
          <w:tcPr>
            <w:tcW w:w="2164" w:type="dxa"/>
            <w:vMerge w:val="continue"/>
            <w:tcBorders>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2" w:type="dxa"/>
            <w:tcBorders>
              <w:left w:val="single" w:color="auto" w:sz="12" w:space="0"/>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地表水</w:t>
            </w:r>
          </w:p>
        </w:tc>
        <w:tc>
          <w:tcPr>
            <w:tcW w:w="2163" w:type="dxa"/>
            <w:tcBorders>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雨水排放口</w:t>
            </w:r>
          </w:p>
        </w:tc>
        <w:tc>
          <w:tcPr>
            <w:tcW w:w="2196" w:type="dxa"/>
            <w:tcBorders>
              <w:bottom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化学需氧量、悬浮物、氟化物</w:t>
            </w:r>
          </w:p>
        </w:tc>
        <w:tc>
          <w:tcPr>
            <w:tcW w:w="2164" w:type="dxa"/>
            <w:vMerge w:val="continue"/>
            <w:tcBorders>
              <w:bottom w:val="single" w:color="auto" w:sz="12" w:space="0"/>
              <w:right w:val="single" w:color="auto" w:sz="12" w:space="0"/>
            </w:tcBorders>
            <w:vAlign w:val="center"/>
          </w:tcPr>
          <w:p>
            <w:pPr>
              <w:pStyle w:val="41"/>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00000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项目卫生防护距离范围内无学校、医院、居民区等环境敏感目标，符合卫生防护距离要求。</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项目验收现场检查会专家提出的整改意见及整改措施如下：</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（1）加强车间管理，安排专人及时清理车间地面上撒漏的物料，保持车间地面清洁；</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整改/修改情况：公司已加强车间管理，并已安排专门人员及时清理地面上撒漏的物料，保持了车间地面清洁；</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（2）定期检查废气收集设施的运行情况，确保废气有效收集和处理。</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整改/修改情况：已安排车间专门人员定期检查废气收集设施的运行情况，确保废气有效收集和处理。</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（3）根据《固定污染源废气监测点位设置技术规范》（DB37/T 3535-2019）的要求，规范设置大气污染物监测平台、监测点位和监测孔。</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整改/修改情况：根据《固定污染源废气监测点位设置技术规范》（DB37/T 3535-2019）的要求，已安排专门人员规范设置大气污染物监测平台、监测点位和监测孔。</w:t>
      </w:r>
    </w:p>
    <w:p>
      <w:pPr>
        <w:keepNext w:val="0"/>
        <w:keepLines w:val="0"/>
        <w:pageBreakBefore w:val="0"/>
        <w:widowControl w:val="0"/>
        <w:kinsoku/>
        <w:wordWrap/>
        <w:overflowPunct/>
        <w:topLinePunct w:val="0"/>
        <w:bidi w:val="0"/>
        <w:snapToGrid/>
        <w:spacing w:line="500" w:lineRule="exact"/>
        <w:ind w:firstLine="420" w:firstLineChars="200"/>
        <w:textAlignment w:val="auto"/>
        <w:rPr>
          <w:rFonts w:hint="default" w:ascii="Times New Roman" w:hAnsi="Times New Roman" w:cs="Times New Roman"/>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B472137"/>
    <w:rsid w:val="0C8223EB"/>
    <w:rsid w:val="0D0001DD"/>
    <w:rsid w:val="140B7F29"/>
    <w:rsid w:val="16154F53"/>
    <w:rsid w:val="17A30FF8"/>
    <w:rsid w:val="17B71A49"/>
    <w:rsid w:val="182F2017"/>
    <w:rsid w:val="19A12421"/>
    <w:rsid w:val="1AAE2376"/>
    <w:rsid w:val="1B1851B0"/>
    <w:rsid w:val="1F7E33E3"/>
    <w:rsid w:val="20C33720"/>
    <w:rsid w:val="218C6A2F"/>
    <w:rsid w:val="22B36145"/>
    <w:rsid w:val="24657C98"/>
    <w:rsid w:val="24C100AF"/>
    <w:rsid w:val="265A593B"/>
    <w:rsid w:val="26F95E73"/>
    <w:rsid w:val="270B5883"/>
    <w:rsid w:val="288C09DE"/>
    <w:rsid w:val="2ABB7EB6"/>
    <w:rsid w:val="2C6600F6"/>
    <w:rsid w:val="2F1728B1"/>
    <w:rsid w:val="30674F5B"/>
    <w:rsid w:val="35475771"/>
    <w:rsid w:val="3BD50FCD"/>
    <w:rsid w:val="3D4A5211"/>
    <w:rsid w:val="42A64878"/>
    <w:rsid w:val="446F2B9F"/>
    <w:rsid w:val="44756DC2"/>
    <w:rsid w:val="44CD1674"/>
    <w:rsid w:val="452C453B"/>
    <w:rsid w:val="455542CB"/>
    <w:rsid w:val="4D5558B4"/>
    <w:rsid w:val="4EF37070"/>
    <w:rsid w:val="52B018E5"/>
    <w:rsid w:val="536E48F6"/>
    <w:rsid w:val="53DD36D8"/>
    <w:rsid w:val="54E91C64"/>
    <w:rsid w:val="54EE0658"/>
    <w:rsid w:val="550429A6"/>
    <w:rsid w:val="562954F0"/>
    <w:rsid w:val="5A0C3D15"/>
    <w:rsid w:val="5AFF078D"/>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15892"/>
    <w:rsid w:val="7ACF34CF"/>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6">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4">
    <w:name w:val="List"/>
    <w:basedOn w:val="1"/>
    <w:next w:val="1"/>
    <w:qFormat/>
    <w:uiPriority w:val="0"/>
    <w:pPr>
      <w:ind w:left="200" w:hanging="200" w:hangingChars="200"/>
    </w:pPr>
    <w:rPr>
      <w:szCs w:val="24"/>
    </w:rPr>
  </w:style>
  <w:style w:type="paragraph" w:styleId="7">
    <w:name w:val="annotation text"/>
    <w:basedOn w:val="1"/>
    <w:link w:val="33"/>
    <w:qFormat/>
    <w:uiPriority w:val="0"/>
    <w:pPr>
      <w:jc w:val="left"/>
    </w:pPr>
    <w:rPr>
      <w:rFonts w:ascii="Times New Roman" w:hAnsi="Times New Roman"/>
      <w:szCs w:val="20"/>
    </w:rPr>
  </w:style>
  <w:style w:type="paragraph" w:styleId="8">
    <w:name w:val="Body Text"/>
    <w:basedOn w:val="1"/>
    <w:link w:val="31"/>
    <w:qFormat/>
    <w:uiPriority w:val="0"/>
    <w:pPr>
      <w:spacing w:after="120"/>
    </w:pPr>
    <w:rPr>
      <w:rFonts w:ascii="Times New Roman" w:hAnsi="Times New Roman"/>
      <w:szCs w:val="20"/>
    </w:rPr>
  </w:style>
  <w:style w:type="paragraph" w:styleId="9">
    <w:name w:val="Body Text Indent"/>
    <w:basedOn w:val="1"/>
    <w:next w:val="10"/>
    <w:unhideWhenUsed/>
    <w:qFormat/>
    <w:uiPriority w:val="99"/>
    <w:pPr>
      <w:ind w:left="420" w:leftChars="200"/>
    </w:pPr>
  </w:style>
  <w:style w:type="paragraph" w:customStyle="1" w:styleId="10">
    <w:name w:val="样式 正文文本缩进 + 行距: 1.5 倍行距"/>
    <w:basedOn w:val="1"/>
    <w:qFormat/>
    <w:uiPriority w:val="0"/>
    <w:pPr>
      <w:spacing w:after="120" w:line="360" w:lineRule="auto"/>
      <w:ind w:left="90" w:leftChars="32" w:firstLine="560" w:firstLineChars="200"/>
    </w:pPr>
    <w:rPr>
      <w:rFonts w:cs="宋体"/>
    </w:rPr>
  </w:style>
  <w:style w:type="paragraph" w:styleId="11">
    <w:name w:val="Plain Text"/>
    <w:basedOn w:val="1"/>
    <w:next w:val="9"/>
    <w:qFormat/>
    <w:uiPriority w:val="0"/>
    <w:rPr>
      <w:rFonts w:ascii="宋体" w:hAnsi="Courier New" w:cs="Courier New"/>
      <w:szCs w:val="21"/>
    </w:rPr>
  </w:style>
  <w:style w:type="paragraph" w:styleId="12">
    <w:name w:val="Balloon Text"/>
    <w:basedOn w:val="1"/>
    <w:link w:val="27"/>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next w:val="15"/>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5">
    <w:name w:val="样式5"/>
    <w:basedOn w:val="16"/>
    <w:qFormat/>
    <w:uiPriority w:val="0"/>
    <w:pPr>
      <w:snapToGrid w:val="0"/>
      <w:spacing w:line="360" w:lineRule="auto"/>
      <w:ind w:firstLine="510"/>
    </w:pPr>
    <w:rPr>
      <w:sz w:val="24"/>
    </w:rPr>
  </w:style>
  <w:style w:type="paragraph" w:customStyle="1" w:styleId="16">
    <w:name w:val="正文1"/>
    <w:basedOn w:val="1"/>
    <w:next w:val="1"/>
    <w:qFormat/>
    <w:uiPriority w:val="0"/>
    <w:pPr>
      <w:ind w:firstLine="420" w:firstLineChars="200"/>
    </w:pPr>
    <w:rPr>
      <w:rFonts w:ascii="仿宋_GB2312" w:hAnsi="仿宋_GB2312" w:eastAsia="仿宋_GB2312" w:cs="宋体"/>
      <w:szCs w:val="20"/>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9"/>
    <w:next w:val="1"/>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li_正文"/>
    <w:basedOn w:val="1"/>
    <w:qFormat/>
    <w:uiPriority w:val="0"/>
    <w:pPr>
      <w:ind w:firstLine="200" w:firstLineChars="200"/>
      <w:jc w:val="left"/>
    </w:pPr>
    <w:rPr>
      <w:sz w:val="28"/>
      <w:szCs w:val="28"/>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框文本 Char"/>
    <w:basedOn w:val="22"/>
    <w:link w:val="12"/>
    <w:semiHidden/>
    <w:qFormat/>
    <w:uiPriority w:val="99"/>
    <w:rPr>
      <w:rFonts w:ascii="Calibri" w:hAnsi="Calibri" w:eastAsia="宋体" w:cs="Times New Roman"/>
      <w:kern w:val="2"/>
      <w:sz w:val="18"/>
      <w:szCs w:val="18"/>
    </w:rPr>
  </w:style>
  <w:style w:type="paragraph" w:customStyle="1" w:styleId="28">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正1"/>
    <w:basedOn w:val="1"/>
    <w:link w:val="35"/>
    <w:qFormat/>
    <w:uiPriority w:val="0"/>
    <w:pPr>
      <w:spacing w:line="360" w:lineRule="auto"/>
      <w:ind w:firstLine="200" w:firstLineChars="200"/>
      <w:jc w:val="left"/>
    </w:pPr>
    <w:rPr>
      <w:rFonts w:eastAsia="楷体_GB2312"/>
      <w:sz w:val="24"/>
    </w:rPr>
  </w:style>
  <w:style w:type="character" w:customStyle="1" w:styleId="31">
    <w:name w:val="正文文本 Char"/>
    <w:basedOn w:val="22"/>
    <w:link w:val="8"/>
    <w:qFormat/>
    <w:uiPriority w:val="0"/>
    <w:rPr>
      <w:kern w:val="2"/>
      <w:sz w:val="21"/>
    </w:rPr>
  </w:style>
  <w:style w:type="paragraph" w:customStyle="1" w:styleId="32">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3">
    <w:name w:val="批注文字 Char"/>
    <w:basedOn w:val="22"/>
    <w:link w:val="7"/>
    <w:qFormat/>
    <w:uiPriority w:val="0"/>
    <w:rPr>
      <w:kern w:val="2"/>
      <w:sz w:val="21"/>
    </w:rPr>
  </w:style>
  <w:style w:type="paragraph" w:customStyle="1" w:styleId="34">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qFormat/>
    <w:uiPriority w:val="0"/>
    <w:rPr>
      <w:rFonts w:ascii="Calibri" w:hAnsi="Calibri" w:eastAsia="楷体_GB2312"/>
      <w:kern w:val="2"/>
      <w:sz w:val="24"/>
      <w:szCs w:val="24"/>
    </w:rPr>
  </w:style>
  <w:style w:type="paragraph" w:customStyle="1" w:styleId="36">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semiHidden/>
    <w:qFormat/>
    <w:uiPriority w:val="0"/>
  </w:style>
  <w:style w:type="paragraph" w:customStyle="1" w:styleId="39">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41">
    <w:name w:val="环正文"/>
    <w:basedOn w:val="1"/>
    <w:qFormat/>
    <w:uiPriority w:val="0"/>
    <w:pPr>
      <w:adjustRightInd w:val="0"/>
      <w:spacing w:line="480" w:lineRule="exact"/>
      <w:ind w:firstLine="554" w:firstLineChars="231"/>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8815</Words>
  <Characters>9066</Characters>
  <Lines>18</Lines>
  <Paragraphs>5</Paragraphs>
  <TotalTime>8</TotalTime>
  <ScaleCrop>false</ScaleCrop>
  <LinksUpToDate>false</LinksUpToDate>
  <CharactersWithSpaces>9270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2023-07-06T08:36:02Z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DAFD249D54E7440C822FD09DA75CBC3C</vt:lpwstr>
  </property>
</Properties>
</file>