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lang w:eastAsia="zh-CN"/>
        </w:rPr>
      </w:pPr>
      <w:bookmarkStart w:id="0" w:name="_GoBack"/>
      <w:bookmarkEnd w:id="0"/>
      <w:r>
        <w:rPr>
          <w:rFonts w:hint="default" w:ascii="Times New Roman" w:hAnsi="Times New Roman" w:cs="Times New Roman" w:eastAsiaTheme="majorEastAsia"/>
          <w:b/>
          <w:bCs/>
          <w:sz w:val="28"/>
          <w:szCs w:val="28"/>
          <w:lang w:eastAsia="zh-CN"/>
        </w:rPr>
        <w:t>锅炉烟气CCUS年产</w:t>
      </w:r>
      <w:r>
        <w:rPr>
          <w:rFonts w:hint="default" w:ascii="Times New Roman" w:hAnsi="Times New Roman" w:cs="Times New Roman" w:eastAsiaTheme="majorEastAsia"/>
          <w:b/>
          <w:bCs/>
          <w:sz w:val="28"/>
          <w:szCs w:val="28"/>
          <w:lang w:val="en-US" w:eastAsia="zh-CN"/>
        </w:rPr>
        <w:t>30</w:t>
      </w:r>
      <w:r>
        <w:rPr>
          <w:rFonts w:hint="default" w:ascii="Times New Roman" w:hAnsi="Times New Roman" w:cs="Times New Roman" w:eastAsiaTheme="majorEastAsia"/>
          <w:b/>
          <w:bCs/>
          <w:sz w:val="28"/>
          <w:szCs w:val="28"/>
          <w:lang w:eastAsia="zh-CN"/>
        </w:rPr>
        <w:t>万吨碳氮联产项目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lang w:eastAsia="zh-CN"/>
        </w:rPr>
      </w:pPr>
      <w:r>
        <w:rPr>
          <w:rFonts w:hint="default" w:ascii="Times New Roman" w:hAnsi="Times New Roman" w:cs="Times New Roman" w:eastAsiaTheme="majorEastAsia"/>
          <w:b/>
          <w:bCs/>
          <w:sz w:val="28"/>
          <w:szCs w:val="28"/>
          <w:lang w:eastAsia="zh-CN"/>
        </w:rPr>
        <w:t>（</w:t>
      </w:r>
      <w:r>
        <w:rPr>
          <w:rFonts w:hint="default" w:ascii="Times New Roman" w:hAnsi="Times New Roman" w:cs="Times New Roman" w:eastAsiaTheme="majorEastAsia"/>
          <w:b/>
          <w:bCs/>
          <w:sz w:val="28"/>
          <w:szCs w:val="28"/>
          <w:lang w:val="en-US" w:eastAsia="zh-CN"/>
        </w:rPr>
        <w:t>一期</w:t>
      </w:r>
      <w:r>
        <w:rPr>
          <w:rFonts w:hint="eastAsia" w:ascii="Times New Roman" w:hAnsi="Times New Roman" w:cs="Times New Roman" w:eastAsiaTheme="majorEastAsia"/>
          <w:b/>
          <w:bCs/>
          <w:sz w:val="28"/>
          <w:szCs w:val="28"/>
          <w:lang w:val="en-US" w:eastAsia="zh-CN"/>
        </w:rPr>
        <w:t>：</w:t>
      </w:r>
      <w:r>
        <w:rPr>
          <w:rFonts w:hint="default" w:ascii="Times New Roman" w:hAnsi="Times New Roman" w:cs="Times New Roman" w:eastAsiaTheme="majorEastAsia"/>
          <w:b/>
          <w:bCs/>
          <w:sz w:val="28"/>
          <w:szCs w:val="28"/>
          <w:lang w:eastAsia="zh-CN"/>
        </w:rPr>
        <w:t>年产</w:t>
      </w:r>
      <w:r>
        <w:rPr>
          <w:rFonts w:hint="eastAsia" w:ascii="Times New Roman" w:hAnsi="Times New Roman" w:cs="Times New Roman" w:eastAsiaTheme="majorEastAsia"/>
          <w:b/>
          <w:bCs/>
          <w:sz w:val="28"/>
          <w:szCs w:val="28"/>
          <w:lang w:val="en-US" w:eastAsia="zh-CN"/>
        </w:rPr>
        <w:t>1</w:t>
      </w:r>
      <w:r>
        <w:rPr>
          <w:rFonts w:hint="default" w:ascii="Times New Roman" w:hAnsi="Times New Roman" w:cs="Times New Roman" w:eastAsiaTheme="majorEastAsia"/>
          <w:b/>
          <w:bCs/>
          <w:sz w:val="28"/>
          <w:szCs w:val="28"/>
          <w:lang w:val="en-US" w:eastAsia="zh-CN"/>
        </w:rPr>
        <w:t>0</w:t>
      </w:r>
      <w:r>
        <w:rPr>
          <w:rFonts w:hint="default" w:ascii="Times New Roman" w:hAnsi="Times New Roman" w:cs="Times New Roman" w:eastAsiaTheme="majorEastAsia"/>
          <w:b/>
          <w:bCs/>
          <w:sz w:val="28"/>
          <w:szCs w:val="28"/>
          <w:lang w:eastAsia="zh-CN"/>
        </w:rPr>
        <w:t>万吨碳氮联产）</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rPr>
      </w:pPr>
      <w:r>
        <w:rPr>
          <w:rFonts w:hint="default" w:ascii="Times New Roman" w:hAnsi="Times New Roman" w:cs="Times New Roman" w:eastAsiaTheme="majorEastAsia"/>
          <w:b/>
          <w:bCs/>
          <w:sz w:val="28"/>
          <w:szCs w:val="28"/>
          <w:lang w:eastAsia="zh-CN"/>
        </w:rPr>
        <w:t>竣</w:t>
      </w:r>
      <w:r>
        <w:rPr>
          <w:rFonts w:hint="default" w:ascii="Times New Roman" w:hAnsi="Times New Roman" w:cs="Times New Roman" w:eastAsiaTheme="majorEastAsia"/>
          <w:b/>
          <w:bCs/>
          <w:sz w:val="28"/>
          <w:szCs w:val="28"/>
        </w:rPr>
        <w:t>工环境保护验收检查意见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highlight w:val="none"/>
        </w:rPr>
        <w:t>20</w:t>
      </w:r>
      <w:r>
        <w:rPr>
          <w:rFonts w:hint="eastAsia" w:ascii="Times New Roman" w:hAnsi="Times New Roman" w:cs="Times New Roman" w:eastAsiaTheme="minorEastAsia"/>
          <w:sz w:val="24"/>
          <w:szCs w:val="24"/>
          <w:highlight w:val="none"/>
          <w:lang w:val="en-US" w:eastAsia="zh-CN"/>
        </w:rPr>
        <w:t>24</w:t>
      </w:r>
      <w:r>
        <w:rPr>
          <w:rFonts w:hint="default" w:ascii="Times New Roman" w:hAnsi="Times New Roman" w:cs="Times New Roman" w:eastAsiaTheme="minorEastAsia"/>
          <w:sz w:val="24"/>
          <w:szCs w:val="24"/>
          <w:highlight w:val="none"/>
        </w:rPr>
        <w:t>年</w:t>
      </w:r>
      <w:r>
        <w:rPr>
          <w:rFonts w:hint="eastAsia" w:ascii="Times New Roman" w:hAnsi="Times New Roman" w:cs="Times New Roman" w:eastAsiaTheme="minorEastAsia"/>
          <w:sz w:val="24"/>
          <w:szCs w:val="24"/>
          <w:highlight w:val="none"/>
          <w:lang w:val="en-US" w:eastAsia="zh-CN"/>
        </w:rPr>
        <w:t>4</w:t>
      </w:r>
      <w:r>
        <w:rPr>
          <w:rFonts w:hint="default" w:ascii="Times New Roman" w:hAnsi="Times New Roman" w:cs="Times New Roman" w:eastAsiaTheme="minorEastAsia"/>
          <w:sz w:val="24"/>
          <w:szCs w:val="24"/>
          <w:highlight w:val="none"/>
        </w:rPr>
        <w:t>月</w:t>
      </w:r>
      <w:r>
        <w:rPr>
          <w:rFonts w:hint="eastAsia" w:ascii="Times New Roman" w:hAnsi="Times New Roman" w:cs="Times New Roman" w:eastAsiaTheme="minorEastAsia"/>
          <w:sz w:val="24"/>
          <w:szCs w:val="24"/>
          <w:highlight w:val="none"/>
          <w:lang w:val="en-US" w:eastAsia="zh-CN"/>
        </w:rPr>
        <w:t>14</w:t>
      </w:r>
      <w:r>
        <w:rPr>
          <w:rFonts w:hint="default" w:ascii="Times New Roman" w:hAnsi="Times New Roman" w:cs="Times New Roman" w:eastAsiaTheme="minorEastAsia"/>
          <w:sz w:val="24"/>
          <w:szCs w:val="24"/>
          <w:highlight w:val="none"/>
        </w:rPr>
        <w:t>日</w:t>
      </w:r>
      <w:r>
        <w:rPr>
          <w:rFonts w:hint="default" w:ascii="Times New Roman" w:hAnsi="Times New Roman" w:cs="Times New Roman" w:eastAsiaTheme="minorEastAsia"/>
          <w:sz w:val="24"/>
          <w:szCs w:val="24"/>
        </w:rPr>
        <w:t>，</w:t>
      </w:r>
      <w:r>
        <w:rPr>
          <w:rFonts w:hint="eastAsia" w:ascii="Times New Roman" w:hAnsi="Times New Roman"/>
          <w:color w:val="auto"/>
          <w:sz w:val="24"/>
          <w:szCs w:val="24"/>
          <w:lang w:eastAsia="zh-CN"/>
        </w:rPr>
        <w:t>聊城信源热电有限公司</w:t>
      </w:r>
      <w:r>
        <w:rPr>
          <w:rFonts w:hint="default" w:ascii="Times New Roman" w:hAnsi="Times New Roman" w:cs="Times New Roman" w:eastAsiaTheme="minorEastAsia"/>
          <w:sz w:val="24"/>
          <w:szCs w:val="24"/>
        </w:rPr>
        <w:t>组织召开了</w:t>
      </w:r>
      <w:r>
        <w:rPr>
          <w:rFonts w:hint="eastAsia" w:ascii="Times New Roman" w:hAnsi="Times New Roman" w:eastAsia="宋体"/>
          <w:color w:val="auto"/>
          <w:sz w:val="24"/>
          <w:szCs w:val="24"/>
          <w:lang w:eastAsia="zh-CN"/>
        </w:rPr>
        <w:t>锅炉烟气CCUS年产</w:t>
      </w:r>
      <w:r>
        <w:rPr>
          <w:rFonts w:hint="eastAsia" w:ascii="Times New Roman" w:hAnsi="Times New Roman" w:eastAsia="宋体"/>
          <w:color w:val="auto"/>
          <w:sz w:val="24"/>
          <w:szCs w:val="24"/>
          <w:lang w:val="en-US" w:eastAsia="zh-CN"/>
        </w:rPr>
        <w:t>30</w:t>
      </w:r>
      <w:r>
        <w:rPr>
          <w:rFonts w:hint="eastAsia" w:ascii="Times New Roman" w:hAnsi="Times New Roman" w:eastAsia="宋体"/>
          <w:color w:val="auto"/>
          <w:sz w:val="24"/>
          <w:szCs w:val="24"/>
          <w:lang w:eastAsia="zh-CN"/>
        </w:rPr>
        <w:t>万吨碳氮联产项目（</w:t>
      </w:r>
      <w:r>
        <w:rPr>
          <w:rFonts w:hint="eastAsia" w:ascii="Times New Roman" w:hAnsi="Times New Roman" w:eastAsia="宋体"/>
          <w:color w:val="auto"/>
          <w:sz w:val="24"/>
          <w:szCs w:val="24"/>
          <w:lang w:val="en-US" w:eastAsia="zh-CN"/>
        </w:rPr>
        <w:t>一期</w:t>
      </w:r>
      <w:r>
        <w:rPr>
          <w:rFonts w:hint="eastAsia" w:ascii="Times New Roman" w:hAnsi="Times New Roman"/>
          <w:color w:val="auto"/>
          <w:sz w:val="24"/>
          <w:szCs w:val="24"/>
          <w:lang w:val="en-US" w:eastAsia="zh-CN"/>
        </w:rPr>
        <w:t>：年产10万吨碳氮联产</w:t>
      </w:r>
      <w:r>
        <w:rPr>
          <w:rFonts w:hint="eastAsia" w:ascii="Times New Roman" w:hAnsi="Times New Roman" w:eastAsia="宋体"/>
          <w:color w:val="auto"/>
          <w:sz w:val="24"/>
          <w:szCs w:val="24"/>
          <w:lang w:eastAsia="zh-CN"/>
        </w:rPr>
        <w:t>）</w:t>
      </w:r>
      <w:r>
        <w:rPr>
          <w:rFonts w:hint="default" w:ascii="Times New Roman" w:hAnsi="Times New Roman" w:cs="Times New Roman" w:eastAsiaTheme="minorEastAsia"/>
          <w:sz w:val="24"/>
          <w:szCs w:val="24"/>
        </w:rPr>
        <w:t>竣工环境保护验收现场检查会。验收组由工程建设单位（</w:t>
      </w:r>
      <w:r>
        <w:rPr>
          <w:rFonts w:hint="eastAsia" w:ascii="Times New Roman" w:hAnsi="Times New Roman"/>
          <w:color w:val="auto"/>
          <w:sz w:val="24"/>
          <w:szCs w:val="24"/>
          <w:lang w:eastAsia="zh-CN"/>
        </w:rPr>
        <w:t>聊城信源热电有限公司</w:t>
      </w:r>
      <w:r>
        <w:rPr>
          <w:rFonts w:hint="default" w:ascii="Times New Roman" w:hAnsi="Times New Roman" w:cs="Times New Roman" w:eastAsiaTheme="minorEastAsia"/>
          <w:sz w:val="24"/>
          <w:szCs w:val="24"/>
        </w:rPr>
        <w:t>）、验收监测报告编制单位并特邀</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名专家组成。验收组现场查阅并核实了项目环保工作落实情况，根据验收监测报告并对照《建设项目环境保护管理条例》、《建设项目竣工环境保护验收暂行办法》，依照有关法律法规、本项目环境影响评价报告书及其批复等要求对本项目进行验收。经认真研究，形成如下验收意见：</w:t>
      </w:r>
    </w:p>
    <w:p>
      <w:pPr>
        <w:keepNext w:val="0"/>
        <w:keepLines w:val="0"/>
        <w:pageBreakBefore w:val="0"/>
        <w:kinsoku/>
        <w:wordWrap/>
        <w:overflowPunct/>
        <w:topLinePunct w:val="0"/>
        <w:bidi w:val="0"/>
        <w:spacing w:line="560" w:lineRule="exact"/>
        <w:ind w:firstLine="551" w:firstLineChars="196"/>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一、工程建设基本情况</w:t>
      </w:r>
    </w:p>
    <w:p>
      <w:pPr>
        <w:keepNext w:val="0"/>
        <w:keepLines w:val="0"/>
        <w:pageBreakBefore w:val="0"/>
        <w:kinsoku/>
        <w:wordWrap/>
        <w:overflowPunct/>
        <w:topLinePunct w:val="0"/>
        <w:bidi w:val="0"/>
        <w:spacing w:line="560" w:lineRule="exact"/>
        <w:ind w:firstLine="56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（一）建设地点、规模、主要建设内容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color w:val="auto"/>
          <w:sz w:val="24"/>
          <w:szCs w:val="24"/>
          <w:highlight w:val="none"/>
          <w:lang w:val="en-US" w:eastAsia="zh-CN"/>
        </w:rPr>
        <w:t>聊城信源热电有限公司</w:t>
      </w:r>
      <w:r>
        <w:rPr>
          <w:rFonts w:hint="eastAsia" w:ascii="Times New Roman" w:hAnsi="Times New Roman" w:eastAsia="宋体" w:cs="Times New Roman"/>
          <w:color w:val="auto"/>
          <w:sz w:val="24"/>
          <w:szCs w:val="24"/>
          <w:highlight w:val="none"/>
          <w:lang w:val="en-US" w:eastAsia="zh-CN"/>
        </w:rPr>
        <w:t>位于山东省聊城市茌平区乐平铺镇郝东村东侧茌大道南侧（东经116°19′59.34″，北纬36°29′</w:t>
      </w:r>
      <w:r>
        <w:rPr>
          <w:rFonts w:hint="default" w:ascii="Times New Roman" w:hAnsi="Times New Roman" w:eastAsia="宋体" w:cs="Times New Roman"/>
          <w:color w:val="auto"/>
          <w:sz w:val="24"/>
          <w:szCs w:val="24"/>
          <w:highlight w:val="none"/>
          <w:lang w:val="en-US" w:eastAsia="zh-CN"/>
        </w:rPr>
        <w:t>11.</w:t>
      </w:r>
      <w:r>
        <w:rPr>
          <w:rFonts w:hint="eastAsia" w:ascii="Times New Roman" w:hAnsi="Times New Roman" w:eastAsia="宋体" w:cs="Times New Roman"/>
          <w:color w:val="auto"/>
          <w:sz w:val="24"/>
          <w:szCs w:val="24"/>
          <w:highlight w:val="none"/>
          <w:lang w:val="en-US" w:eastAsia="zh-CN"/>
        </w:rPr>
        <w:t>9″），建设锅炉烟气 CCUS 年产 30 万吨碳氮联产项目。项目为新建项目，占地面积5006.94平方米。项目现已达到了一期年产 10 万吨碳氮联产的生产能力。</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（二）建设过程及环保审批情况</w:t>
      </w:r>
    </w:p>
    <w:p>
      <w:pPr>
        <w:widowControl w:val="0"/>
        <w:spacing w:line="360" w:lineRule="auto"/>
        <w:ind w:firstLine="480" w:firstLineChars="200"/>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3</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2</w:t>
      </w:r>
      <w:r>
        <w:rPr>
          <w:rFonts w:ascii="Times New Roman" w:hAnsi="Times New Roman" w:eastAsia="宋体"/>
          <w:color w:val="auto"/>
          <w:sz w:val="24"/>
          <w:szCs w:val="24"/>
          <w:highlight w:val="none"/>
        </w:rPr>
        <w:t>月，</w:t>
      </w:r>
      <w:r>
        <w:rPr>
          <w:rFonts w:hint="eastAsia" w:ascii="Times New Roman" w:hAnsi="Times New Roman"/>
          <w:color w:val="auto"/>
          <w:sz w:val="24"/>
          <w:szCs w:val="24"/>
          <w:highlight w:val="none"/>
          <w:lang w:eastAsia="zh-CN"/>
        </w:rPr>
        <w:t>聊城信源热电有限公司</w:t>
      </w:r>
      <w:r>
        <w:rPr>
          <w:rFonts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山东博瑞达环保科技有限公司</w:t>
      </w:r>
      <w:r>
        <w:rPr>
          <w:rFonts w:ascii="Times New Roman" w:hAnsi="Times New Roman" w:eastAsia="宋体"/>
          <w:color w:val="auto"/>
          <w:sz w:val="24"/>
          <w:szCs w:val="24"/>
          <w:highlight w:val="none"/>
        </w:rPr>
        <w:t>编制《</w:t>
      </w:r>
      <w:r>
        <w:rPr>
          <w:rFonts w:hint="eastAsia" w:ascii="Times New Roman" w:hAnsi="Times New Roman"/>
          <w:color w:val="auto"/>
          <w:sz w:val="24"/>
          <w:szCs w:val="24"/>
          <w:highlight w:val="none"/>
          <w:lang w:eastAsia="zh-CN"/>
        </w:rPr>
        <w:t>聊城信源集团有限公司</w:t>
      </w:r>
      <w:r>
        <w:rPr>
          <w:rFonts w:hint="eastAsia" w:ascii="Times New Roman" w:hAnsi="Times New Roman" w:eastAsia="宋体"/>
          <w:color w:val="auto"/>
          <w:sz w:val="24"/>
          <w:szCs w:val="24"/>
          <w:highlight w:val="none"/>
          <w:lang w:eastAsia="zh-CN"/>
        </w:rPr>
        <w:t>锅炉烟气CCUS年产30万吨碳氮联产项目（</w:t>
      </w:r>
      <w:r>
        <w:rPr>
          <w:rFonts w:hint="eastAsia" w:ascii="Times New Roman" w:hAnsi="Times New Roman" w:eastAsia="宋体"/>
          <w:color w:val="auto"/>
          <w:sz w:val="24"/>
          <w:szCs w:val="24"/>
          <w:highlight w:val="none"/>
          <w:lang w:val="en-US" w:eastAsia="zh-CN"/>
        </w:rPr>
        <w:t>一期</w:t>
      </w:r>
      <w:r>
        <w:rPr>
          <w:rFonts w:hint="eastAsia" w:ascii="Times New Roman" w:hAnsi="Times New Roman" w:eastAsia="宋体"/>
          <w:color w:val="auto"/>
          <w:sz w:val="24"/>
          <w:szCs w:val="24"/>
          <w:highlight w:val="none"/>
          <w:lang w:eastAsia="zh-CN"/>
        </w:rPr>
        <w:t>）</w:t>
      </w:r>
      <w:r>
        <w:rPr>
          <w:rFonts w:ascii="Times New Roman" w:hAnsi="Times New Roman" w:eastAsia="宋体"/>
          <w:color w:val="auto"/>
          <w:sz w:val="24"/>
          <w:szCs w:val="24"/>
          <w:highlight w:val="none"/>
        </w:rPr>
        <w:t>环境影响报告表》，202</w:t>
      </w:r>
      <w:r>
        <w:rPr>
          <w:rFonts w:hint="eastAsia" w:ascii="Times New Roman" w:hAnsi="Times New Roman" w:eastAsia="宋体"/>
          <w:color w:val="auto"/>
          <w:sz w:val="24"/>
          <w:szCs w:val="24"/>
          <w:highlight w:val="none"/>
          <w:lang w:val="en-US" w:eastAsia="zh-CN"/>
        </w:rPr>
        <w:t>3</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val="en-US" w:eastAsia="zh-CN"/>
        </w:rPr>
        <w:t>25</w:t>
      </w:r>
      <w:r>
        <w:rPr>
          <w:rFonts w:ascii="Times New Roman" w:hAnsi="Times New Roman" w:eastAsia="宋体"/>
          <w:color w:val="auto"/>
          <w:sz w:val="24"/>
          <w:szCs w:val="24"/>
          <w:highlight w:val="none"/>
        </w:rPr>
        <w:t>日聊城市茌平区行政审批服务局以</w:t>
      </w:r>
      <w:r>
        <w:rPr>
          <w:rFonts w:hint="eastAsia" w:ascii="Times New Roman" w:hAnsi="Times New Roman" w:eastAsia="宋体"/>
          <w:color w:val="auto"/>
          <w:sz w:val="24"/>
          <w:szCs w:val="24"/>
          <w:highlight w:val="none"/>
          <w:lang w:eastAsia="zh-CN"/>
        </w:rPr>
        <w:t>聊茌行审环管〔2023〕26号</w:t>
      </w:r>
      <w:r>
        <w:rPr>
          <w:rFonts w:hint="eastAsia" w:ascii="Times New Roman" w:hAnsi="Times New Roman" w:eastAsia="宋体"/>
          <w:color w:val="auto"/>
          <w:sz w:val="24"/>
          <w:szCs w:val="24"/>
          <w:highlight w:val="none"/>
        </w:rPr>
        <w:t>文</w:t>
      </w:r>
      <w:r>
        <w:rPr>
          <w:rFonts w:ascii="Times New Roman" w:hAnsi="Times New Roman" w:eastAsia="宋体"/>
          <w:color w:val="auto"/>
          <w:sz w:val="24"/>
          <w:szCs w:val="24"/>
          <w:highlight w:val="none"/>
        </w:rPr>
        <w:t>对该项目进行了批复。</w:t>
      </w:r>
      <w:r>
        <w:rPr>
          <w:rFonts w:hint="eastAsia"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rPr>
        <w:t>年</w:t>
      </w:r>
      <w:r>
        <w:rPr>
          <w:rFonts w:hint="eastAsia" w:ascii="Times New Roman" w:hAnsi="Times New Roman"/>
          <w:color w:val="auto"/>
          <w:sz w:val="24"/>
          <w:szCs w:val="24"/>
          <w:highlight w:val="none"/>
          <w:lang w:val="en-US" w:eastAsia="zh-CN"/>
        </w:rPr>
        <w:t>04</w:t>
      </w:r>
      <w:r>
        <w:rPr>
          <w:rFonts w:hint="eastAsia" w:ascii="Times New Roman" w:hAnsi="Times New Roman" w:eastAsia="宋体"/>
          <w:color w:val="auto"/>
          <w:sz w:val="24"/>
          <w:szCs w:val="24"/>
          <w:highlight w:val="none"/>
        </w:rPr>
        <w:t>月，</w:t>
      </w:r>
      <w:r>
        <w:rPr>
          <w:rFonts w:hint="eastAsia" w:ascii="Times New Roman" w:hAnsi="Times New Roman"/>
          <w:color w:val="auto"/>
          <w:sz w:val="24"/>
          <w:szCs w:val="24"/>
          <w:highlight w:val="none"/>
          <w:lang w:eastAsia="zh-CN"/>
        </w:rPr>
        <w:t>聊城信源热电有限公司</w:t>
      </w:r>
      <w:r>
        <w:rPr>
          <w:rFonts w:hint="eastAsia"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山东玖玺环保科技有限公司</w:t>
      </w:r>
      <w:r>
        <w:rPr>
          <w:rFonts w:hint="eastAsia" w:ascii="Times New Roman" w:hAnsi="Times New Roman" w:eastAsia="宋体"/>
          <w:color w:val="auto"/>
          <w:sz w:val="24"/>
          <w:szCs w:val="24"/>
          <w:highlight w:val="none"/>
        </w:rPr>
        <w:t>对</w:t>
      </w:r>
      <w:r>
        <w:rPr>
          <w:rFonts w:hint="eastAsia" w:ascii="Times New Roman" w:hAnsi="Times New Roman" w:eastAsia="宋体"/>
          <w:color w:val="auto"/>
          <w:sz w:val="24"/>
          <w:szCs w:val="24"/>
          <w:highlight w:val="none"/>
          <w:lang w:eastAsia="zh-CN"/>
        </w:rPr>
        <w:t>锅炉烟气 CCUS年产</w:t>
      </w:r>
      <w:r>
        <w:rPr>
          <w:rFonts w:hint="eastAsia" w:ascii="Times New Roman" w:hAnsi="Times New Roman" w:eastAsia="宋体"/>
          <w:color w:val="auto"/>
          <w:sz w:val="24"/>
          <w:szCs w:val="24"/>
          <w:highlight w:val="none"/>
          <w:lang w:val="en-US" w:eastAsia="zh-CN"/>
        </w:rPr>
        <w:t>30</w:t>
      </w:r>
      <w:r>
        <w:rPr>
          <w:rFonts w:hint="eastAsia" w:ascii="Times New Roman" w:hAnsi="Times New Roman" w:eastAsia="宋体"/>
          <w:color w:val="auto"/>
          <w:sz w:val="24"/>
          <w:szCs w:val="24"/>
          <w:highlight w:val="none"/>
          <w:lang w:eastAsia="zh-CN"/>
        </w:rPr>
        <w:t>万吨碳氮联产项目（</w:t>
      </w:r>
      <w:r>
        <w:rPr>
          <w:rFonts w:hint="eastAsia" w:ascii="Times New Roman" w:hAnsi="Times New Roman" w:eastAsia="宋体"/>
          <w:color w:val="auto"/>
          <w:sz w:val="24"/>
          <w:szCs w:val="24"/>
          <w:highlight w:val="none"/>
          <w:lang w:val="en-US" w:eastAsia="zh-CN"/>
        </w:rPr>
        <w:t>一期</w:t>
      </w:r>
      <w:r>
        <w:rPr>
          <w:rFonts w:hint="eastAsia" w:ascii="Times New Roman" w:hAnsi="Times New Roman" w:eastAsia="宋体"/>
          <w:color w:val="auto"/>
          <w:sz w:val="24"/>
          <w:szCs w:val="24"/>
          <w:lang w:val="en-US" w:eastAsia="zh-CN"/>
        </w:rPr>
        <w:t>：年产10万吨碳氮联产</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rPr>
        <w:t>进行自主验收并验收通过。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eastAsia="宋体" w:cs="Times New Roman"/>
          <w:color w:val="auto"/>
          <w:sz w:val="24"/>
          <w:szCs w:val="24"/>
          <w:highlight w:val="none"/>
          <w:lang w:val="en-US" w:eastAsia="zh-CN"/>
        </w:rPr>
        <w:t>2024年01月，</w:t>
      </w:r>
      <w:r>
        <w:rPr>
          <w:rFonts w:hint="eastAsia" w:ascii="Times New Roman" w:hAnsi="Times New Roman" w:cs="Times New Roman"/>
          <w:color w:val="auto"/>
          <w:sz w:val="24"/>
          <w:szCs w:val="24"/>
          <w:highlight w:val="none"/>
          <w:lang w:eastAsia="zh-CN"/>
        </w:rPr>
        <w:t>聊城信源热电有限公司</w:t>
      </w:r>
      <w:r>
        <w:rPr>
          <w:rFonts w:ascii="Times New Roman" w:hAnsi="Times New Roman" w:eastAsia="宋体" w:cs="Times New Roman"/>
          <w:color w:val="auto"/>
          <w:sz w:val="24"/>
          <w:szCs w:val="24"/>
          <w:highlight w:val="none"/>
        </w:rPr>
        <w:t>委托</w:t>
      </w:r>
      <w:r>
        <w:rPr>
          <w:rFonts w:hint="eastAsia" w:ascii="Times New Roman" w:hAnsi="Times New Roman" w:eastAsia="宋体" w:cs="Times New Roman"/>
          <w:color w:val="auto"/>
          <w:sz w:val="24"/>
          <w:szCs w:val="24"/>
          <w:highlight w:val="none"/>
          <w:lang w:eastAsia="zh-CN"/>
        </w:rPr>
        <w:t>山东玖玺环保科技有限公司</w:t>
      </w:r>
      <w:r>
        <w:rPr>
          <w:rFonts w:ascii="Times New Roman" w:hAnsi="Times New Roman" w:eastAsia="宋体" w:cs="Times New Roman"/>
          <w:color w:val="auto"/>
          <w:sz w:val="24"/>
          <w:szCs w:val="24"/>
          <w:highlight w:val="none"/>
        </w:rPr>
        <w:t>于202</w:t>
      </w:r>
      <w:r>
        <w:rPr>
          <w:rFonts w:hint="eastAsia" w:ascii="Times New Roman" w:hAnsi="Times New Roman" w:eastAsia="宋体" w:cs="Times New Roman"/>
          <w:color w:val="auto"/>
          <w:sz w:val="24"/>
          <w:szCs w:val="24"/>
          <w:highlight w:val="none"/>
          <w:lang w:val="en-US" w:eastAsia="zh-CN"/>
        </w:rPr>
        <w:t>4</w:t>
      </w:r>
      <w:r>
        <w:rPr>
          <w:rFonts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01</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11</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01</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12</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03月01日、03月02、04月03日、04月04日</w:t>
      </w:r>
      <w:r>
        <w:rPr>
          <w:rFonts w:ascii="Times New Roman" w:hAnsi="Times New Roman" w:eastAsia="宋体" w:cs="Times New Roman"/>
          <w:color w:val="auto"/>
          <w:sz w:val="24"/>
          <w:szCs w:val="24"/>
          <w:highlight w:val="none"/>
        </w:rPr>
        <w:t>对</w:t>
      </w:r>
      <w:r>
        <w:rPr>
          <w:rFonts w:hint="eastAsia" w:ascii="Times New Roman" w:hAnsi="Times New Roman" w:cs="Times New Roman"/>
          <w:color w:val="auto"/>
          <w:sz w:val="24"/>
          <w:szCs w:val="24"/>
          <w:highlight w:val="none"/>
          <w:lang w:eastAsia="zh-CN"/>
        </w:rPr>
        <w:t>聊城信源热电有限公司</w:t>
      </w:r>
      <w:r>
        <w:rPr>
          <w:rFonts w:hint="eastAsia" w:ascii="Times New Roman" w:hAnsi="Times New Roman" w:eastAsia="宋体" w:cs="Times New Roman"/>
          <w:color w:val="auto"/>
          <w:sz w:val="24"/>
          <w:szCs w:val="24"/>
          <w:highlight w:val="none"/>
          <w:lang w:eastAsia="zh-CN"/>
        </w:rPr>
        <w:t>锅炉烟气CCUS年产</w:t>
      </w:r>
      <w:r>
        <w:rPr>
          <w:rFonts w:hint="eastAsia" w:ascii="Times New Roman" w:hAnsi="Times New Roman" w:eastAsia="宋体" w:cs="Times New Roman"/>
          <w:color w:val="auto"/>
          <w:sz w:val="24"/>
          <w:szCs w:val="24"/>
          <w:highlight w:val="none"/>
          <w:lang w:val="en-US" w:eastAsia="zh-CN"/>
        </w:rPr>
        <w:t>30</w:t>
      </w:r>
      <w:r>
        <w:rPr>
          <w:rFonts w:hint="eastAsia" w:ascii="Times New Roman" w:hAnsi="Times New Roman" w:eastAsia="宋体" w:cs="Times New Roman"/>
          <w:color w:val="auto"/>
          <w:sz w:val="24"/>
          <w:szCs w:val="24"/>
          <w:highlight w:val="none"/>
          <w:lang w:eastAsia="zh-CN"/>
        </w:rPr>
        <w:t>万吨碳氮联产项目（</w:t>
      </w:r>
      <w:r>
        <w:rPr>
          <w:rFonts w:hint="eastAsia" w:ascii="Times New Roman" w:hAnsi="Times New Roman" w:eastAsia="宋体"/>
          <w:color w:val="auto"/>
          <w:sz w:val="24"/>
          <w:szCs w:val="24"/>
          <w:highlight w:val="none"/>
          <w:lang w:val="en-US" w:eastAsia="zh-CN"/>
        </w:rPr>
        <w:t>一期</w:t>
      </w:r>
      <w:r>
        <w:rPr>
          <w:rFonts w:hint="eastAsia" w:ascii="Times New Roman" w:hAnsi="Times New Roman" w:eastAsia="宋体"/>
          <w:color w:val="auto"/>
          <w:sz w:val="24"/>
          <w:szCs w:val="24"/>
          <w:lang w:val="en-US" w:eastAsia="zh-CN"/>
        </w:rPr>
        <w:t>：年产10万吨碳氮联产</w:t>
      </w:r>
      <w:r>
        <w:rPr>
          <w:rFonts w:hint="eastAsia" w:ascii="Times New Roman" w:hAnsi="Times New Roman" w:eastAsia="宋体" w:cs="Times New Roman"/>
          <w:color w:val="auto"/>
          <w:sz w:val="24"/>
          <w:szCs w:val="24"/>
          <w:highlight w:val="none"/>
          <w:lang w:eastAsia="zh-CN"/>
        </w:rPr>
        <w:t>）</w:t>
      </w:r>
      <w:r>
        <w:rPr>
          <w:rFonts w:ascii="Times New Roman" w:hAnsi="Times New Roman" w:eastAsia="宋体" w:cs="Times New Roman"/>
          <w:color w:val="auto"/>
          <w:sz w:val="24"/>
          <w:szCs w:val="24"/>
          <w:highlight w:val="none"/>
        </w:rPr>
        <w:t>进行了验收检测。后对检测数据进行分析论证，在此基础上完成了项目竣工环境保护验收监测报告表的编制。</w:t>
      </w:r>
      <w:r>
        <w:rPr>
          <w:rFonts w:hint="eastAsia" w:ascii="Times New Roman" w:hAnsi="Times New Roman" w:eastAsia="宋体" w:cs="Times New Roman"/>
          <w:color w:val="auto"/>
          <w:sz w:val="24"/>
          <w:szCs w:val="24"/>
          <w:highlight w:val="none"/>
          <w:lang w:eastAsia="zh-CN"/>
        </w:rPr>
        <w:t>本次项目验收范围为</w:t>
      </w:r>
      <w:r>
        <w:rPr>
          <w:rFonts w:hint="eastAsia" w:ascii="Times New Roman" w:hAnsi="Times New Roman" w:eastAsia="宋体"/>
          <w:color w:val="auto"/>
          <w:sz w:val="24"/>
          <w:szCs w:val="24"/>
          <w:highlight w:val="none"/>
          <w:lang w:eastAsia="zh-CN"/>
        </w:rPr>
        <w:t>锅炉烟气CCUS年产</w:t>
      </w:r>
      <w:r>
        <w:rPr>
          <w:rFonts w:hint="eastAsia" w:ascii="Times New Roman" w:hAnsi="Times New Roman" w:eastAsia="宋体"/>
          <w:color w:val="auto"/>
          <w:sz w:val="24"/>
          <w:szCs w:val="24"/>
          <w:highlight w:val="none"/>
          <w:lang w:val="en-US" w:eastAsia="zh-CN"/>
        </w:rPr>
        <w:t>30</w:t>
      </w:r>
      <w:r>
        <w:rPr>
          <w:rFonts w:hint="eastAsia" w:ascii="Times New Roman" w:hAnsi="Times New Roman" w:eastAsia="宋体"/>
          <w:color w:val="auto"/>
          <w:sz w:val="24"/>
          <w:szCs w:val="24"/>
          <w:highlight w:val="none"/>
          <w:lang w:eastAsia="zh-CN"/>
        </w:rPr>
        <w:t>万吨碳氮联产（</w:t>
      </w:r>
      <w:r>
        <w:rPr>
          <w:rFonts w:hint="eastAsia" w:ascii="Times New Roman" w:hAnsi="Times New Roman" w:eastAsia="宋体" w:cs="Times New Roman"/>
          <w:color w:val="auto"/>
          <w:sz w:val="24"/>
          <w:szCs w:val="24"/>
          <w:highlight w:val="none"/>
          <w:lang w:val="en-US" w:eastAsia="zh-CN"/>
        </w:rPr>
        <w:t>一期</w:t>
      </w:r>
      <w:r>
        <w:rPr>
          <w:rFonts w:hint="eastAsia" w:ascii="Times New Roman" w:hAnsi="Times New Roman" w:eastAsia="宋体"/>
          <w:color w:val="auto"/>
          <w:sz w:val="24"/>
          <w:szCs w:val="24"/>
          <w:lang w:val="en-US" w:eastAsia="zh-CN"/>
        </w:rPr>
        <w:t>：年产10万吨碳氮联产</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工程项目</w:t>
      </w:r>
      <w:r>
        <w:rPr>
          <w:rFonts w:hint="eastAsia" w:ascii="Times New Roman" w:hAnsi="Times New Roman" w:eastAsia="宋体" w:cs="Times New Roman"/>
          <w:color w:val="auto"/>
          <w:sz w:val="24"/>
          <w:szCs w:val="24"/>
          <w:highlight w:val="none"/>
          <w:lang w:eastAsia="zh-CN"/>
        </w:rPr>
        <w:t>。</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（三）投资情况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项目总投资</w:t>
      </w:r>
      <w:r>
        <w:rPr>
          <w:rFonts w:hint="eastAsia" w:ascii="Times New Roman" w:hAnsi="Times New Roman" w:cs="Times New Roman" w:eastAsiaTheme="minorEastAsia"/>
          <w:sz w:val="24"/>
          <w:szCs w:val="24"/>
          <w:lang w:val="en-US" w:eastAsia="zh-CN"/>
        </w:rPr>
        <w:t>17054.05</w:t>
      </w:r>
      <w:r>
        <w:rPr>
          <w:rFonts w:hint="eastAsia" w:asciiTheme="minorEastAsia" w:hAnsiTheme="minorEastAsia" w:eastAsiaTheme="minorEastAsia" w:cstheme="minorEastAsia"/>
          <w:sz w:val="24"/>
          <w:szCs w:val="24"/>
        </w:rPr>
        <w:t>万元，环保投资</w:t>
      </w:r>
      <w:r>
        <w:rPr>
          <w:rFonts w:hint="eastAsia" w:ascii="Times New Roman" w:hAnsi="Times New Roman" w:cs="Times New Roman" w:eastAsiaTheme="minorEastAsia"/>
          <w:sz w:val="24"/>
          <w:szCs w:val="24"/>
          <w:lang w:val="en-US" w:eastAsia="zh-CN"/>
        </w:rPr>
        <w:t>40</w:t>
      </w:r>
      <w:r>
        <w:rPr>
          <w:rFonts w:hint="eastAsia" w:asciiTheme="minorEastAsia" w:hAnsiTheme="minorEastAsia" w:eastAsiaTheme="minorEastAsia" w:cstheme="minorEastAsia"/>
          <w:sz w:val="24"/>
          <w:szCs w:val="24"/>
        </w:rPr>
        <w:t>万元。</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（四）验收范围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rPr>
      </w:pPr>
      <w:r>
        <w:rPr>
          <w:rFonts w:hint="eastAsia" w:ascii="Times New Roman" w:hAnsi="Times New Roman" w:eastAsia="宋体"/>
          <w:color w:val="auto"/>
          <w:sz w:val="24"/>
          <w:szCs w:val="24"/>
          <w:lang w:eastAsia="zh-CN"/>
        </w:rPr>
        <w:t>锅炉烟气CCUS年产</w:t>
      </w:r>
      <w:r>
        <w:rPr>
          <w:rFonts w:hint="eastAsia" w:ascii="Times New Roman" w:hAnsi="Times New Roman" w:eastAsia="宋体"/>
          <w:color w:val="auto"/>
          <w:sz w:val="24"/>
          <w:szCs w:val="24"/>
          <w:lang w:val="en-US" w:eastAsia="zh-CN"/>
        </w:rPr>
        <w:t>30</w:t>
      </w:r>
      <w:r>
        <w:rPr>
          <w:rFonts w:hint="eastAsia" w:ascii="Times New Roman" w:hAnsi="Times New Roman" w:eastAsia="宋体"/>
          <w:color w:val="auto"/>
          <w:sz w:val="24"/>
          <w:szCs w:val="24"/>
          <w:lang w:eastAsia="zh-CN"/>
        </w:rPr>
        <w:t>万吨碳氮联产项目（</w:t>
      </w:r>
      <w:r>
        <w:rPr>
          <w:rFonts w:hint="eastAsia" w:ascii="Times New Roman" w:hAnsi="Times New Roman" w:eastAsia="宋体"/>
          <w:color w:val="auto"/>
          <w:sz w:val="24"/>
          <w:szCs w:val="24"/>
          <w:lang w:val="en-US" w:eastAsia="zh-CN"/>
        </w:rPr>
        <w:t>一期：年产10万吨碳氮联产</w:t>
      </w:r>
      <w:r>
        <w:rPr>
          <w:rFonts w:hint="eastAsia" w:ascii="Times New Roman" w:hAnsi="Times New Roman" w:eastAsia="宋体"/>
          <w:color w:val="auto"/>
          <w:sz w:val="24"/>
          <w:szCs w:val="24"/>
          <w:lang w:eastAsia="zh-CN"/>
        </w:rPr>
        <w:t>）</w:t>
      </w:r>
      <w:r>
        <w:rPr>
          <w:rFonts w:hint="default" w:ascii="Times New Roman" w:hAnsi="Times New Roman" w:eastAsia="宋体" w:cs="Times New Roman"/>
          <w:sz w:val="24"/>
          <w:szCs w:val="24"/>
        </w:rPr>
        <w:t>。</w:t>
      </w:r>
    </w:p>
    <w:p>
      <w:pPr>
        <w:keepNext w:val="0"/>
        <w:keepLines w:val="0"/>
        <w:pageBreakBefore w:val="0"/>
        <w:numPr>
          <w:ilvl w:val="0"/>
          <w:numId w:val="0"/>
        </w:numPr>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highlight w:val="red"/>
        </w:rPr>
      </w:pPr>
      <w:r>
        <w:rPr>
          <w:rFonts w:hint="eastAsia" w:asciiTheme="minorEastAsia" w:hAnsiTheme="minorEastAsia" w:eastAsiaTheme="minorEastAsia" w:cstheme="minorEastAsia"/>
          <w:b/>
          <w:sz w:val="28"/>
          <w:szCs w:val="28"/>
          <w:highlight w:val="none"/>
          <w:lang w:val="en-US" w:eastAsia="zh-CN"/>
        </w:rPr>
        <w:t>二、</w:t>
      </w:r>
      <w:r>
        <w:rPr>
          <w:rFonts w:hint="eastAsia" w:asciiTheme="minorEastAsia" w:hAnsiTheme="minorEastAsia" w:eastAsiaTheme="minorEastAsia" w:cstheme="minorEastAsia"/>
          <w:b/>
          <w:sz w:val="28"/>
          <w:szCs w:val="28"/>
          <w:highlight w:val="none"/>
        </w:rPr>
        <w:t>工程变动情况</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ja-JP"/>
        </w:rPr>
        <w:t>建设项目的性质、规模、地点、采用的生产工艺或者防治污染、防止生态破坏的措施发生重大变动的，才属重大变更。依据以上《关于印发〈污染影响类建设项目重大变动清单（试行）〉的通知》（环办环评函[2020]688号）分析，本项目不存在重大变动。</w:t>
      </w:r>
    </w:p>
    <w:p>
      <w:pPr>
        <w:keepNext w:val="0"/>
        <w:keepLines w:val="0"/>
        <w:pageBreakBefore w:val="0"/>
        <w:kinsoku/>
        <w:wordWrap/>
        <w:overflowPunct/>
        <w:topLinePunct w:val="0"/>
        <w:bidi w:val="0"/>
        <w:adjustRightInd w:val="0"/>
        <w:spacing w:line="560" w:lineRule="exact"/>
        <w:ind w:firstLine="568" w:firstLineChars="202"/>
        <w:jc w:val="left"/>
        <w:textAlignment w:val="auto"/>
        <w:outlineLvl w:val="9"/>
        <w:rPr>
          <w:rFonts w:hint="eastAsia" w:asciiTheme="minorEastAsia" w:hAnsiTheme="minorEastAsia" w:eastAsiaTheme="minorEastAsia" w:cstheme="minorEastAsia"/>
          <w:b/>
          <w:kern w:val="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三、环境保护设施建设情况</w:t>
      </w:r>
    </w:p>
    <w:p>
      <w:pPr>
        <w:keepNext w:val="0"/>
        <w:keepLines w:val="0"/>
        <w:pageBreakBefore w:val="0"/>
        <w:tabs>
          <w:tab w:val="left" w:pos="1362"/>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（一）废水</w:t>
      </w:r>
    </w:p>
    <w:p>
      <w:pPr>
        <w:tabs>
          <w:tab w:val="left" w:pos="1960"/>
          <w:tab w:val="left" w:pos="2100"/>
          <w:tab w:val="left" w:pos="2520"/>
          <w:tab w:val="left" w:pos="2940"/>
          <w:tab w:val="left" w:pos="3360"/>
          <w:tab w:val="left" w:pos="4830"/>
          <w:tab w:val="left" w:pos="5145"/>
        </w:tabs>
        <w:snapToGrid w:val="0"/>
        <w:spacing w:line="360" w:lineRule="auto"/>
        <w:ind w:firstLine="480" w:firstLineChars="200"/>
        <w:jc w:val="both"/>
        <w:rPr>
          <w:rStyle w:val="32"/>
          <w:rFonts w:hint="eastAsia" w:ascii="Times New Roman" w:hAnsi="Times New Roman" w:eastAsia="宋体" w:cs="Times New Roman"/>
          <w:sz w:val="24"/>
          <w:lang w:val="en-US" w:eastAsia="zh-CN"/>
        </w:rPr>
      </w:pPr>
      <w:r>
        <w:rPr>
          <w:rStyle w:val="32"/>
          <w:rFonts w:hint="eastAsia" w:ascii="Times New Roman" w:hAnsi="Times New Roman" w:eastAsia="宋体" w:cs="Times New Roman"/>
          <w:sz w:val="24"/>
          <w:lang w:val="en-US" w:eastAsia="zh-CN"/>
        </w:rPr>
        <w:t>本项目生产装置废水排放主要为烟气预处理废水、烟气凝结水、化水车间排水（包括反冲洗排水、酸碱废水、浓水）、冷却水排水、烟气预处理的脱硫废水及生活污水。</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Style w:val="32"/>
          <w:rFonts w:hint="eastAsia" w:ascii="Times New Roman" w:hAnsi="Times New Roman" w:eastAsia="宋体" w:cs="Times New Roman"/>
          <w:sz w:val="24"/>
          <w:lang w:val="en-US" w:eastAsia="zh-CN"/>
        </w:rPr>
        <w:t>烟气预处理脱硫废水进入厂区脱硫废水处理系统，处理后用于灰库、渣仓加湿，煤棚喷洒；烟气预处理废水、烟气凝结水、反冲洗排水、浓水、冷却水排水、预处理后的酸碱废水以及经生活污水处理站处理后的生活污水排入厂区回用水池，回用水池主要用于供应主厂房地面冲洗、脱硫系统补水以及输煤系统冲洗，不外排。</w:t>
      </w:r>
    </w:p>
    <w:p>
      <w:pPr>
        <w:keepNext w:val="0"/>
        <w:keepLines w:val="0"/>
        <w:pageBreakBefore w:val="0"/>
        <w:kinsoku/>
        <w:wordWrap/>
        <w:overflowPunct/>
        <w:topLinePunct w:val="0"/>
        <w:bidi w:val="0"/>
        <w:adjustRightInd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（二）废气</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 xml:space="preserve">本项目废气主要为脱硫床、干燥床、吸附床产生的废反吹气、精馏塔产生的塔顶气、储罐系统的产品气、氮提纯装置产生的废气。 </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①有组织废气</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二氧化碳精制的脱硫床、干燥床、吸附床产生的废反吹气经收集后与3-4锅炉烟气混合后经1根210m高的排气筒（DA002）排放；精馏塔产生不凝气、储罐系统产品气收集后用干燥床、脱硫床和吸附床的再生气；氮提纯装置产生的放空气通过9根15m排气筒（DA003-DA011）排放。</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②无组织废气</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精馏塔产生的塔顶气和储罐系统的产品气；生产装置区无组织废气排放主要为少量二氧化碳及所含杂质无组织逸散。本项目生产采用DCS控制系统，装置物料输送均通过密闭管道进行，因此装置区无组织排放的污染物较少，不再定量计算。加强企业日常管理，控制日常跑冒滴漏发生，减少无组织废气排放</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（三）噪声</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Style w:val="32"/>
          <w:rFonts w:hint="eastAsia" w:ascii="Times New Roman" w:hAnsi="Times New Roman" w:eastAsia="宋体" w:cs="Times New Roman"/>
          <w:sz w:val="24"/>
          <w:lang w:val="en-US" w:eastAsia="zh-CN"/>
        </w:rPr>
        <w:t>本项目运营期噪声主要为烟气引风机、泵类、压缩机、真空泵、二氧化碳压缩机、制冷机组、尾气引风机等设备运转时产生的噪声。项目采取的主要降噪措施包括：在设备选型时优先选用低噪声设备，加设隔声材料，减振安装；设备运行时，尽量减少高噪声设备同时使用；高噪声设备合理布置，尽量远离厂界和办公区；加强管理，经常保养和维护机械设备，避免设备在不良状态下运行。</w:t>
      </w:r>
      <w:r>
        <w:rPr>
          <w:rFonts w:hint="eastAsia" w:ascii="Times New Roman" w:hAnsi="Times New Roman" w:cs="Times New Roman" w:eastAsiaTheme="minorEastAsia"/>
          <w:color w:val="000000"/>
          <w:sz w:val="24"/>
          <w:szCs w:val="24"/>
          <w:highlight w:val="none"/>
          <w:lang w:val="en-US" w:eastAsia="zh-CN"/>
        </w:rPr>
        <w:t xml:space="preserve"> </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lang w:val="en-US" w:eastAsia="zh-CN"/>
        </w:rPr>
      </w:pPr>
      <w:r>
        <w:rPr>
          <w:rFonts w:hint="eastAsia" w:asciiTheme="minorEastAsia" w:hAnsiTheme="minorEastAsia" w:eastAsiaTheme="minorEastAsia" w:cstheme="minorEastAsia"/>
          <w:b/>
          <w:sz w:val="28"/>
          <w:szCs w:val="28"/>
          <w:shd w:val="clear" w:color="auto" w:fill="FFFFFF"/>
          <w:lang w:bidi="ar"/>
        </w:rPr>
        <w:t>（四）固</w:t>
      </w:r>
      <w:r>
        <w:rPr>
          <w:rFonts w:hint="eastAsia" w:asciiTheme="minorEastAsia" w:hAnsiTheme="minorEastAsia" w:eastAsiaTheme="minorEastAsia" w:cstheme="minorEastAsia"/>
          <w:b/>
          <w:sz w:val="28"/>
          <w:szCs w:val="28"/>
          <w:shd w:val="clear" w:color="auto" w:fill="FFFFFF"/>
          <w:lang w:val="en-US" w:eastAsia="zh-CN" w:bidi="ar"/>
        </w:rPr>
        <w:t>体</w:t>
      </w:r>
      <w:r>
        <w:rPr>
          <w:rFonts w:hint="eastAsia" w:asciiTheme="minorEastAsia" w:hAnsiTheme="minorEastAsia" w:eastAsiaTheme="minorEastAsia" w:cstheme="minorEastAsia"/>
          <w:b/>
          <w:sz w:val="28"/>
          <w:szCs w:val="28"/>
          <w:shd w:val="clear" w:color="auto" w:fill="FFFFFF"/>
          <w:lang w:bidi="ar"/>
        </w:rPr>
        <w:t>废</w:t>
      </w:r>
      <w:r>
        <w:rPr>
          <w:rFonts w:hint="eastAsia" w:asciiTheme="minorEastAsia" w:hAnsiTheme="minorEastAsia" w:eastAsiaTheme="minorEastAsia" w:cstheme="minorEastAsia"/>
          <w:b/>
          <w:sz w:val="28"/>
          <w:szCs w:val="28"/>
          <w:shd w:val="clear" w:color="auto" w:fill="FFFFFF"/>
          <w:lang w:val="en-US" w:eastAsia="zh-CN" w:bidi="ar"/>
        </w:rPr>
        <w:t>物</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运营期产生的固废主要为生活垃圾、烟气预处理产生的废脱硫液、PSA提纯产生的废吸附剂、碳脱硫床产生的废脱硫剂、干燥床产生的废干燥剂、吸附床产生的废吸附剂、氮提纯装置产生的废吸附剂、废矿物油、废油桶。</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（1）一般固废</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 xml:space="preserve">本项目产生的生活垃圾采用垃圾桶暂存，定期由环卫部门清运。 </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（2）危险废物</w:t>
      </w:r>
    </w:p>
    <w:p>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产生的危险废物主要为PSA提纯产生的废吸附剂、碳脱硫床产生的废脱硫剂、干燥床产生的废干燥剂、吸附床产生的废吸附剂、氮提纯装置产生的废吸附剂按照产废周期更换，不在厂区暂存，更换后由资质单位直接运输处置；设备检修产生的废矿物油、废油桶收集后暂存厂区北部危废库，委托有资质单位处置。</w:t>
      </w:r>
    </w:p>
    <w:p>
      <w:pPr>
        <w:pStyle w:val="30"/>
        <w:keepNext w:val="0"/>
        <w:keepLines w:val="0"/>
        <w:pageBreakBefore w:val="0"/>
        <w:widowControl/>
        <w:numPr>
          <w:ilvl w:val="0"/>
          <w:numId w:val="0"/>
        </w:numPr>
        <w:tabs>
          <w:tab w:val="left" w:pos="0"/>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eastAsiaTheme="minorEastAsia" w:cstheme="minorEastAsia"/>
          <w:b/>
          <w:bCs/>
          <w:sz w:val="28"/>
          <w:szCs w:val="28"/>
          <w:shd w:val="clear" w:color="auto" w:fill="FFFFFF"/>
          <w:lang w:eastAsia="zh-CN"/>
        </w:rPr>
        <w:t>四、</w:t>
      </w:r>
      <w:r>
        <w:rPr>
          <w:rFonts w:hint="eastAsia" w:asciiTheme="minorEastAsia" w:hAnsiTheme="minorEastAsia" w:eastAsiaTheme="minorEastAsia" w:cstheme="minorEastAsia"/>
          <w:b/>
          <w:bCs/>
          <w:sz w:val="28"/>
          <w:szCs w:val="28"/>
          <w:shd w:val="clear" w:color="auto" w:fill="FFFFFF"/>
        </w:rPr>
        <w:t>环境保护设施调试效果</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第三方环境监测公司出具了《</w:t>
      </w:r>
      <w:r>
        <w:rPr>
          <w:rFonts w:hint="eastAsia" w:ascii="Times New Roman" w:hAnsi="Times New Roman" w:cs="Times New Roman"/>
          <w:color w:val="auto"/>
          <w:sz w:val="24"/>
          <w:szCs w:val="24"/>
          <w:lang w:val="en-US" w:eastAsia="zh-CN"/>
        </w:rPr>
        <w:t>聊城信源热电有限公司</w:t>
      </w:r>
      <w:r>
        <w:rPr>
          <w:rFonts w:hint="eastAsia" w:ascii="Times New Roman" w:hAnsi="Times New Roman" w:eastAsia="宋体" w:cs="Times New Roman"/>
          <w:color w:val="auto"/>
          <w:sz w:val="24"/>
          <w:szCs w:val="24"/>
          <w:lang w:val="en-US" w:eastAsia="zh-CN"/>
        </w:rPr>
        <w:t>锅炉烟气CCUS年产30万吨碳氮联产项目（一期</w:t>
      </w:r>
      <w:r>
        <w:rPr>
          <w:rFonts w:hint="eastAsia" w:ascii="Times New Roman" w:hAnsi="Times New Roman" w:cs="Times New Roman"/>
          <w:color w:val="auto"/>
          <w:sz w:val="24"/>
          <w:szCs w:val="24"/>
          <w:lang w:val="en-US" w:eastAsia="zh-CN"/>
        </w:rPr>
        <w:t>：年产10万吨碳氮联产</w:t>
      </w:r>
      <w:r>
        <w:rPr>
          <w:rFonts w:hint="eastAsia" w:ascii="Times New Roman" w:hAnsi="Times New Roman" w:cs="Times New Roman" w:eastAsiaTheme="minorEastAsia"/>
          <w:color w:val="000000"/>
          <w:sz w:val="24"/>
          <w:szCs w:val="24"/>
          <w:highlight w:val="none"/>
          <w:lang w:val="en-US" w:eastAsia="zh-CN"/>
        </w:rPr>
        <w:t>）竣工环境保护验收监测报告表》，验收监测期间，项目生产工况稳定，生产负荷均在75%以上，符合验收监测应在工况的要求。监测结果表明：</w:t>
      </w:r>
    </w:p>
    <w:p>
      <w:pPr>
        <w:pStyle w:val="31"/>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default" w:ascii="Times New Roman" w:hAnsi="Times New Roman" w:cs="Times New Roman" w:eastAsiaTheme="minorEastAsia"/>
          <w:b/>
          <w:bCs/>
          <w:kern w:val="2"/>
          <w:sz w:val="28"/>
          <w:szCs w:val="28"/>
          <w:lang w:val="en-US" w:eastAsia="zh-CN" w:bidi="ar-SA"/>
        </w:rPr>
      </w:pPr>
      <w:r>
        <w:rPr>
          <w:rFonts w:hint="default" w:ascii="Times New Roman" w:hAnsi="Times New Roman" w:cs="Times New Roman" w:eastAsiaTheme="minorEastAsia"/>
          <w:b/>
          <w:bCs/>
          <w:kern w:val="2"/>
          <w:sz w:val="28"/>
          <w:szCs w:val="28"/>
          <w:lang w:val="en-US" w:eastAsia="zh-CN" w:bidi="ar-SA"/>
        </w:rPr>
        <w:t>1、废气</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验收监测期间，DA002排气筒有组织颗粒物、二氧化硫、氮氧化物、氨、汞及其化合物、烟气黑度最高排放浓度分别为：3.6mg/m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、27mg/m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、48mg/m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、1.89mg/m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、&lt;3×10-3mg/m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、&lt;1级，分别满足山东省《火电厂大气污染物排放标准》（DB37/664-2019）排放限值：5mg/m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、35mg/m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、50mg/m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、2.5mg/m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、0.03mg/m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、1级。DA003-DA011排气筒有组织二氧化硫最高排放浓度分别为：&lt;3mg/m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、&lt;3mg/m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、8mg/m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、&lt;3mg/m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、10mg/m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、8mg/m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、&lt;3mg/m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、11mg/m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、10mg/m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；DA003-DA011排气筒有组织氮氧化物最高排放浓度分别为：18mg/m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、19mg/m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、11mg/m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、18mg/m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、14mg/m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、12mg/m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、18mg/m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、13mg/m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、11mg/m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，DA003-DA011有组织氮氧化物、二氧化硫排放浓度分别满足《区域性大气污染物综合排放标准》（DB37-2376-2019）排放限值：100mg/m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、50mg/m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。DA003-DA011排气筒有组织氨最高排放浓度分别为1.82mg/m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、1.85mg/m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、2.09mg/m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、2.03mg/m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、2.15mg/m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、1.96mg/m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、1.89mg/m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、1.87mg/m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、1.85mg/m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，DA003-DA011分别满足《无机化学工业污染物排放标准》（GB 31573-2015）特别排放限值：10mg/m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。DA003-DA011排气筒有组织氮氧化物最大排放速率分别为：1.5×10</w:t>
      </w:r>
      <w:r>
        <w:rPr>
          <w:rFonts w:hint="default" w:ascii="Times New Roman" w:hAnsi="Times New Roman" w:eastAsia="宋体" w:cs="Times New Roman"/>
          <w:b w:val="0"/>
          <w:bCs w:val="0"/>
          <w:color w:val="auto"/>
          <w:sz w:val="24"/>
          <w:szCs w:val="24"/>
          <w:highlight w:val="none"/>
          <w:vertAlign w:val="superscript"/>
          <w:lang w:val="en-US" w:eastAsia="zh-CN"/>
        </w:rPr>
        <w:t>-2</w:t>
      </w:r>
      <w:r>
        <w:rPr>
          <w:rFonts w:hint="default" w:ascii="Times New Roman" w:hAnsi="Times New Roman" w:eastAsia="宋体" w:cs="Times New Roman"/>
          <w:b w:val="0"/>
          <w:bCs w:val="0"/>
          <w:color w:val="auto"/>
          <w:sz w:val="24"/>
          <w:szCs w:val="24"/>
          <w:highlight w:val="none"/>
          <w:lang w:val="en-US" w:eastAsia="zh-CN"/>
        </w:rPr>
        <w:t xml:space="preserve"> kg/h、1.4×10</w:t>
      </w:r>
      <w:r>
        <w:rPr>
          <w:rFonts w:hint="default" w:ascii="Times New Roman" w:hAnsi="Times New Roman" w:eastAsia="宋体" w:cs="Times New Roman"/>
          <w:b w:val="0"/>
          <w:bCs w:val="0"/>
          <w:color w:val="auto"/>
          <w:sz w:val="24"/>
          <w:szCs w:val="24"/>
          <w:highlight w:val="none"/>
          <w:vertAlign w:val="superscript"/>
          <w:lang w:val="en-US" w:eastAsia="zh-CN"/>
        </w:rPr>
        <w:t>-2</w:t>
      </w:r>
      <w:r>
        <w:rPr>
          <w:rFonts w:hint="default" w:ascii="Times New Roman" w:hAnsi="Times New Roman" w:eastAsia="宋体" w:cs="Times New Roman"/>
          <w:b w:val="0"/>
          <w:bCs w:val="0"/>
          <w:color w:val="auto"/>
          <w:sz w:val="24"/>
          <w:szCs w:val="24"/>
          <w:highlight w:val="none"/>
          <w:lang w:val="en-US" w:eastAsia="zh-CN"/>
        </w:rPr>
        <w:t xml:space="preserve"> kg/h、3.9×10</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 xml:space="preserve"> kg/h、1.5×10</w:t>
      </w:r>
      <w:r>
        <w:rPr>
          <w:rFonts w:hint="default" w:ascii="Times New Roman" w:hAnsi="Times New Roman" w:eastAsia="宋体" w:cs="Times New Roman"/>
          <w:b w:val="0"/>
          <w:bCs w:val="0"/>
          <w:color w:val="auto"/>
          <w:sz w:val="24"/>
          <w:szCs w:val="24"/>
          <w:highlight w:val="none"/>
          <w:vertAlign w:val="superscript"/>
          <w:lang w:val="en-US" w:eastAsia="zh-CN"/>
        </w:rPr>
        <w:t>-2</w:t>
      </w:r>
      <w:r>
        <w:rPr>
          <w:rFonts w:hint="default" w:ascii="Times New Roman" w:hAnsi="Times New Roman" w:eastAsia="宋体" w:cs="Times New Roman"/>
          <w:b w:val="0"/>
          <w:bCs w:val="0"/>
          <w:color w:val="auto"/>
          <w:sz w:val="24"/>
          <w:szCs w:val="24"/>
          <w:highlight w:val="none"/>
          <w:lang w:val="en-US" w:eastAsia="zh-CN"/>
        </w:rPr>
        <w:t xml:space="preserve"> kg/h、5.1×10</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 xml:space="preserve"> kg/h、6.2×10</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 xml:space="preserve"> kg/h、1.5×10</w:t>
      </w:r>
      <w:r>
        <w:rPr>
          <w:rFonts w:hint="default" w:ascii="Times New Roman" w:hAnsi="Times New Roman" w:eastAsia="宋体" w:cs="Times New Roman"/>
          <w:b w:val="0"/>
          <w:bCs w:val="0"/>
          <w:color w:val="auto"/>
          <w:sz w:val="24"/>
          <w:szCs w:val="24"/>
          <w:highlight w:val="none"/>
          <w:vertAlign w:val="superscript"/>
          <w:lang w:val="en-US" w:eastAsia="zh-CN"/>
        </w:rPr>
        <w:t>-2</w:t>
      </w:r>
      <w:r>
        <w:rPr>
          <w:rFonts w:hint="default" w:ascii="Times New Roman" w:hAnsi="Times New Roman" w:eastAsia="宋体" w:cs="Times New Roman"/>
          <w:b w:val="0"/>
          <w:bCs w:val="0"/>
          <w:color w:val="auto"/>
          <w:sz w:val="24"/>
          <w:szCs w:val="24"/>
          <w:highlight w:val="none"/>
          <w:lang w:val="en-US" w:eastAsia="zh-CN"/>
        </w:rPr>
        <w:t xml:space="preserve"> kg/h、4.5×10</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kg/h、4.7×10</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 xml:space="preserve"> kg/h，DA003-DA011排气筒有组织二氧化硫最大排放速率分别为：1.3×10</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 xml:space="preserve"> kg/h、1.0×10</w:t>
      </w:r>
      <w:r>
        <w:rPr>
          <w:rFonts w:hint="default" w:ascii="Times New Roman" w:hAnsi="Times New Roman" w:eastAsia="宋体" w:cs="Times New Roman"/>
          <w:b w:val="0"/>
          <w:bCs w:val="0"/>
          <w:color w:val="auto"/>
          <w:sz w:val="24"/>
          <w:szCs w:val="24"/>
          <w:highlight w:val="none"/>
          <w:vertAlign w:val="superscript"/>
          <w:lang w:val="en-US" w:eastAsia="zh-CN"/>
        </w:rPr>
        <w:t xml:space="preserve">-3 </w:t>
      </w:r>
      <w:r>
        <w:rPr>
          <w:rFonts w:hint="default" w:ascii="Times New Roman" w:hAnsi="Times New Roman" w:eastAsia="宋体" w:cs="Times New Roman"/>
          <w:b w:val="0"/>
          <w:bCs w:val="0"/>
          <w:color w:val="auto"/>
          <w:sz w:val="24"/>
          <w:szCs w:val="24"/>
          <w:highlight w:val="none"/>
          <w:lang w:val="en-US" w:eastAsia="zh-CN"/>
        </w:rPr>
        <w:t>kg/h、3.5×10</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 xml:space="preserve"> kg/h、1.2×10</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 xml:space="preserve"> kg/h、5.1×10</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 xml:space="preserve"> kg/h、5.3×10</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 xml:space="preserve"> kg/h、1.2×10</w:t>
      </w:r>
      <w:r>
        <w:rPr>
          <w:rFonts w:hint="default" w:ascii="Times New Roman" w:hAnsi="Times New Roman" w:eastAsia="宋体" w:cs="Times New Roman"/>
          <w:b w:val="0"/>
          <w:bCs w:val="0"/>
          <w:color w:val="auto"/>
          <w:sz w:val="24"/>
          <w:szCs w:val="24"/>
          <w:highlight w:val="none"/>
          <w:vertAlign w:val="superscript"/>
          <w:lang w:val="en-US" w:eastAsia="zh-CN"/>
        </w:rPr>
        <w:t>-2</w:t>
      </w:r>
      <w:r>
        <w:rPr>
          <w:rFonts w:hint="default" w:ascii="Times New Roman" w:hAnsi="Times New Roman" w:eastAsia="宋体" w:cs="Times New Roman"/>
          <w:b w:val="0"/>
          <w:bCs w:val="0"/>
          <w:color w:val="auto"/>
          <w:sz w:val="24"/>
          <w:szCs w:val="24"/>
          <w:highlight w:val="none"/>
          <w:lang w:val="en-US" w:eastAsia="zh-CN"/>
        </w:rPr>
        <w:t xml:space="preserve"> kg/h、3.3×10</w:t>
      </w:r>
      <w:r>
        <w:rPr>
          <w:rFonts w:hint="default" w:ascii="Times New Roman" w:hAnsi="Times New Roman" w:eastAsia="宋体" w:cs="Times New Roman"/>
          <w:b w:val="0"/>
          <w:bCs w:val="0"/>
          <w:color w:val="auto"/>
          <w:sz w:val="24"/>
          <w:szCs w:val="24"/>
          <w:highlight w:val="none"/>
          <w:vertAlign w:val="superscript"/>
          <w:lang w:val="en-US" w:eastAsia="zh-CN"/>
        </w:rPr>
        <w:t xml:space="preserve">-3 </w:t>
      </w:r>
      <w:r>
        <w:rPr>
          <w:rFonts w:hint="default" w:ascii="Times New Roman" w:hAnsi="Times New Roman" w:eastAsia="宋体" w:cs="Times New Roman"/>
          <w:b w:val="0"/>
          <w:bCs w:val="0"/>
          <w:color w:val="auto"/>
          <w:sz w:val="24"/>
          <w:szCs w:val="24"/>
          <w:highlight w:val="none"/>
          <w:lang w:val="en-US" w:eastAsia="zh-CN"/>
        </w:rPr>
        <w:t>kg/h、3.7×10</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 xml:space="preserve"> kg/h，DA003-DA011有组织氮氧化物、二氧化硫分别满足《大气污染物综合排放标准》（GB 16297-1996）表2中“其它”二级标准要求：2.51kg/h、8.5kg/h（因本项目DA003-DA011排气筒高度为15m，不能满足“高出周围200m半径范围的建筑5m以上”，因此氮氧化物、二氧化硫排放速率标准值严格50%执行）。</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验收监测期间，无组织氨最高排放浓度为：0.1mg/m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满足《</w:t>
      </w:r>
      <w:r>
        <w:rPr>
          <w:rFonts w:hint="default" w:ascii="Times New Roman" w:hAnsi="Times New Roman" w:eastAsia="宋体" w:cs="Times New Roman"/>
          <w:color w:val="auto"/>
          <w:sz w:val="24"/>
          <w:szCs w:val="24"/>
          <w:highlight w:val="none"/>
          <w:lang w:val="en-US" w:eastAsia="zh-CN"/>
        </w:rPr>
        <w:fldChar w:fldCharType="begin"/>
      </w:r>
      <w:r>
        <w:rPr>
          <w:rFonts w:hint="default" w:ascii="Times New Roman" w:hAnsi="Times New Roman" w:eastAsia="宋体" w:cs="Times New Roman"/>
          <w:color w:val="auto"/>
          <w:sz w:val="24"/>
          <w:szCs w:val="24"/>
          <w:highlight w:val="none"/>
          <w:lang w:val="en-US" w:eastAsia="zh-CN"/>
        </w:rPr>
        <w:instrText xml:space="preserve"> HYPERLINK "http://www.mee.gov.cn/image20010518/5303.pdf" </w:instrText>
      </w:r>
      <w:r>
        <w:rPr>
          <w:rFonts w:hint="default" w:ascii="Times New Roman" w:hAnsi="Times New Roman" w:eastAsia="宋体" w:cs="Times New Roman"/>
          <w:color w:val="auto"/>
          <w:sz w:val="24"/>
          <w:szCs w:val="24"/>
          <w:highlight w:val="none"/>
          <w:lang w:val="en-US" w:eastAsia="zh-CN"/>
        </w:rPr>
        <w:fldChar w:fldCharType="separate"/>
      </w:r>
      <w:r>
        <w:rPr>
          <w:rFonts w:hint="default" w:ascii="Times New Roman" w:hAnsi="Times New Roman" w:eastAsia="宋体" w:cs="Times New Roman"/>
          <w:color w:val="auto"/>
          <w:sz w:val="24"/>
          <w:szCs w:val="24"/>
          <w:highlight w:val="none"/>
          <w:lang w:val="en-US" w:eastAsia="zh-CN"/>
        </w:rPr>
        <w:t>恶臭污染物排放标准</w:t>
      </w:r>
      <w:r>
        <w:rPr>
          <w:rFonts w:hint="default" w:ascii="Times New Roman" w:hAnsi="Times New Roman" w:eastAsia="宋体" w:cs="Times New Roman"/>
          <w:color w:val="auto"/>
          <w:sz w:val="24"/>
          <w:szCs w:val="24"/>
          <w:highlight w:val="none"/>
          <w:lang w:val="en-US" w:eastAsia="zh-CN"/>
        </w:rPr>
        <w:fldChar w:fldCharType="end"/>
      </w:r>
      <w:r>
        <w:rPr>
          <w:rFonts w:hint="default" w:ascii="Times New Roman" w:hAnsi="Times New Roman" w:eastAsia="宋体" w:cs="Times New Roman"/>
          <w:color w:val="auto"/>
          <w:sz w:val="24"/>
          <w:szCs w:val="24"/>
          <w:highlight w:val="none"/>
          <w:lang w:val="en-US" w:eastAsia="zh-CN"/>
        </w:rPr>
        <w:t>》（GB 14554-93）表1无组织排放浓度限值：1.0 mg/m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；无组织颗粒物最高排放浓度为0.327mg/m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满足《大气污染物综合排放标准》（GB 16297-1996）中无组织排放浓度限值：1.0 mg/m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；无组织非甲烷总烃最高排放浓度为1.36mg/m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满足《挥发性有机物排放标准 第7部分 其他行业DB37/2801.7-2019》中排放限值：2.0 mg/m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w:t>
      </w:r>
    </w:p>
    <w:p>
      <w:pPr>
        <w:pStyle w:val="31"/>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2、噪声</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验收监测期间，厂界昼间最大噪声值为59 dB(A)，夜间最大噪声值为47 dB(A)，满足《工业企业厂界环境噪声排放标准》（GB 12348-2008）3类区标准（昼间65 dB(A)、夜间55 dB(A)）要求。</w:t>
      </w:r>
    </w:p>
    <w:p>
      <w:pPr>
        <w:pStyle w:val="31"/>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3、废水</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验收监测期间，验收监测期间，项目废水PH值最高排放浓度为：7.7无量纲、色度最高排放浓度为：8倍、五日生化需氧量最高排放浓度为：9.0mg/L、悬浮物最高排放浓度为：20mg/L、化学需氧量最高排放浓度为：47mg/L、氨氮最高排放浓度为：5.8mg/L、总磷最高排放浓度为：0.07mg/L、石油类最高排放浓度为：0.19mg/L、总硬度最高排放浓度为：417mg/L、硫酸盐最高排放浓度为：223mg/L，分别满足《城市污水再生利用工业用水水质》（GB/T 19923-2005）中冷却用水、工艺与产品用水水质标准中限值的要求。（PH值：6.5-8.5无量纲、色度：30倍、五日生化需氧量：10mg/L、悬浮物：30mg/L、化学需氧量：60mg/L、氨氮：10mg/L、总磷：1mg/L、石油类：1mg/L、总硬度：450mg/L、硫酸盐：250mg/L）</w:t>
      </w:r>
    </w:p>
    <w:p>
      <w:pPr>
        <w:pStyle w:val="31"/>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4、固体废物</w:t>
      </w:r>
    </w:p>
    <w:p>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运营期产生的固废主要为生活垃圾、烟气预处理产生的废脱硫液、PSA提纯产生的废吸附剂、碳脱硫床产生的废脱硫剂、干燥床产生的废干燥剂、吸附床产生的废吸附剂、氮提纯装置产生的废吸附剂、废矿物油、废油桶。</w:t>
      </w:r>
    </w:p>
    <w:p>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）一般固废</w:t>
      </w:r>
    </w:p>
    <w:p>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本项目产生的生活垃圾采用垃圾桶暂存，定期由环卫部门清运。 </w:t>
      </w:r>
    </w:p>
    <w:p>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）危险废物</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lang w:val="en-US" w:eastAsia="zh-CN"/>
        </w:rPr>
        <w:t>项目产生的危险废物主要为PSA提纯产生的废吸附剂、碳脱硫床产生的废脱硫剂、干燥床产生的废干燥剂、吸附床产生的废吸附剂、氮提纯装置产生的废吸附剂按照产废周期更换，不在厂区暂存，更换后由资质单位直接运输处置；设备检修产生的废矿物油、废油桶收集后暂存厂区北部危废库，委托有资质单位处置</w:t>
      </w:r>
      <w:r>
        <w:rPr>
          <w:rFonts w:hint="eastAsia" w:ascii="Times New Roman" w:hAnsi="Times New Roman" w:cs="Times New Roman" w:eastAsiaTheme="minorEastAsia"/>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竣工环境保护验收监测结果表明：本次验收项目产生的有组织废气、无组织废气、噪声经处理设施处理后均稳定达标排放；项目生产过程中产生的</w:t>
      </w:r>
      <w:r>
        <w:rPr>
          <w:rFonts w:hint="eastAsia" w:ascii="Times New Roman" w:hAnsi="Times New Roman" w:cs="Times New Roman" w:eastAsiaTheme="minorEastAsia"/>
          <w:color w:val="000000"/>
          <w:sz w:val="24"/>
          <w:szCs w:val="24"/>
          <w:highlight w:val="none"/>
          <w:lang w:val="en-US" w:eastAsia="zh-CN"/>
        </w:rPr>
        <w:t>废水和</w:t>
      </w:r>
      <w:r>
        <w:rPr>
          <w:rFonts w:hint="default" w:ascii="Times New Roman" w:hAnsi="Times New Roman" w:cs="Times New Roman" w:eastAsiaTheme="minorEastAsia"/>
          <w:color w:val="000000"/>
          <w:sz w:val="24"/>
          <w:szCs w:val="24"/>
          <w:highlight w:val="none"/>
          <w:lang w:val="en-US" w:eastAsia="zh-CN"/>
        </w:rPr>
        <w:t>固废处置措施合理有效，去向明确，对外环境影响较小。综上所述，</w:t>
      </w:r>
      <w:r>
        <w:rPr>
          <w:rFonts w:hint="eastAsia" w:ascii="Times New Roman" w:hAnsi="Times New Roman" w:cs="Times New Roman"/>
          <w:color w:val="auto"/>
          <w:sz w:val="24"/>
          <w:szCs w:val="24"/>
          <w:highlight w:val="none"/>
          <w:lang w:eastAsia="zh-CN"/>
        </w:rPr>
        <w:t>聊城信源热电有限公司</w:t>
      </w:r>
      <w:r>
        <w:rPr>
          <w:rFonts w:hint="eastAsia" w:ascii="Times New Roman" w:hAnsi="Times New Roman" w:eastAsia="宋体" w:cs="Times New Roman"/>
          <w:color w:val="auto"/>
          <w:sz w:val="24"/>
          <w:szCs w:val="24"/>
          <w:highlight w:val="none"/>
          <w:lang w:eastAsia="zh-CN"/>
        </w:rPr>
        <w:t>锅炉烟气CCUS年产</w:t>
      </w:r>
      <w:r>
        <w:rPr>
          <w:rFonts w:hint="eastAsia" w:ascii="Times New Roman" w:hAnsi="Times New Roman" w:eastAsia="宋体" w:cs="Times New Roman"/>
          <w:color w:val="auto"/>
          <w:sz w:val="24"/>
          <w:szCs w:val="24"/>
          <w:highlight w:val="none"/>
          <w:lang w:val="en-US" w:eastAsia="zh-CN"/>
        </w:rPr>
        <w:t>30</w:t>
      </w:r>
      <w:r>
        <w:rPr>
          <w:rFonts w:hint="eastAsia" w:ascii="Times New Roman" w:hAnsi="Times New Roman" w:eastAsia="宋体" w:cs="Times New Roman"/>
          <w:color w:val="auto"/>
          <w:sz w:val="24"/>
          <w:szCs w:val="24"/>
          <w:highlight w:val="none"/>
          <w:lang w:eastAsia="zh-CN"/>
        </w:rPr>
        <w:t>万吨碳氮联产项目（</w:t>
      </w:r>
      <w:r>
        <w:rPr>
          <w:rFonts w:hint="eastAsia" w:ascii="Times New Roman" w:hAnsi="Times New Roman" w:eastAsia="宋体"/>
          <w:color w:val="auto"/>
          <w:sz w:val="24"/>
          <w:szCs w:val="24"/>
          <w:highlight w:val="none"/>
          <w:lang w:val="en-US" w:eastAsia="zh-CN"/>
        </w:rPr>
        <w:t>一期</w:t>
      </w:r>
      <w:r>
        <w:rPr>
          <w:rFonts w:hint="eastAsia" w:ascii="Times New Roman" w:hAnsi="Times New Roman"/>
          <w:color w:val="auto"/>
          <w:sz w:val="24"/>
          <w:szCs w:val="24"/>
          <w:highlight w:val="none"/>
          <w:lang w:val="en-US" w:eastAsia="zh-CN"/>
        </w:rPr>
        <w:t>：年产10万吨碳氮联产</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cs="Times New Roman" w:eastAsiaTheme="minorEastAsia"/>
          <w:color w:val="000000"/>
          <w:sz w:val="24"/>
          <w:szCs w:val="24"/>
          <w:highlight w:val="none"/>
          <w:lang w:val="en-US" w:eastAsia="zh-CN"/>
        </w:rPr>
        <w:t>满足建设项目竣工环境保护验收条件。</w:t>
      </w:r>
    </w:p>
    <w:p>
      <w:pPr>
        <w:keepNext w:val="0"/>
        <w:keepLines w:val="0"/>
        <w:pageBreakBefore w:val="0"/>
        <w:kinsoku/>
        <w:wordWrap/>
        <w:overflowPunct/>
        <w:topLinePunct w:val="0"/>
        <w:bidi w:val="0"/>
        <w:adjustRightInd w:val="0"/>
        <w:snapToGrid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五、工程建设对环境的影响</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项目建设进行了环境影响评价，基本落实了环境影响评价文件及其批复要求。验收监测期间，项目产生的废气、噪声能够达标排放，废水、固体废物能够得到妥善处理。</w:t>
      </w:r>
    </w:p>
    <w:p>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六、验收结论</w:t>
      </w:r>
    </w:p>
    <w:p>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聊城信源热电有限公司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同意该项目环保设施通过环保验收。</w:t>
      </w:r>
    </w:p>
    <w:p>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color w:val="000000"/>
          <w:sz w:val="28"/>
          <w:szCs w:val="28"/>
          <w:shd w:val="clear" w:color="auto" w:fill="FFFFFF"/>
          <w:lang w:bidi="ar"/>
        </w:rPr>
        <w:t>七、后续要求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2、定期检查废气收集设施的运行情况，确保废气有效收集和处理；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项目运营过程中，严格执行排污许可排放标准，一般工业固废严格按照《一般工业固体废物贮存和填埋污染控制标准》（GB 18599-2020）要求执行，危险废物严格按照《危险废物贮存污染控制标准》（GB 18597-2023）要求执行。</w:t>
      </w:r>
    </w:p>
    <w:p>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lang w:bidi="ar"/>
        </w:rPr>
      </w:pPr>
      <w:r>
        <w:rPr>
          <w:rFonts w:hint="eastAsia" w:asciiTheme="minorEastAsia" w:hAnsiTheme="minorEastAsia" w:eastAsiaTheme="minorEastAsia" w:cstheme="minorEastAsia"/>
          <w:b/>
          <w:color w:val="000000"/>
          <w:sz w:val="28"/>
          <w:szCs w:val="28"/>
          <w:shd w:val="clear" w:color="auto" w:fill="FFFFFF"/>
          <w:lang w:bidi="ar"/>
        </w:rPr>
        <w:t>八、验收人员信息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见附件。</w:t>
      </w:r>
    </w:p>
    <w:p>
      <w:pPr>
        <w:keepNext w:val="0"/>
        <w:keepLines w:val="0"/>
        <w:pageBreakBefore w:val="0"/>
        <w:kinsoku/>
        <w:wordWrap/>
        <w:overflowPunct/>
        <w:topLinePunct w:val="0"/>
        <w:bidi w:val="0"/>
        <w:adjustRightInd w:val="0"/>
        <w:spacing w:line="560" w:lineRule="exact"/>
        <w:ind w:firstLine="364" w:firstLineChars="152"/>
        <w:jc w:val="right"/>
        <w:textAlignment w:val="auto"/>
        <w:outlineLvl w:val="9"/>
        <w:rPr>
          <w:rFonts w:hint="eastAsia" w:asciiTheme="minorEastAsia" w:hAnsiTheme="minorEastAsia" w:eastAsiaTheme="minorEastAsia" w:cstheme="minorEastAsia"/>
          <w:sz w:val="24"/>
          <w:szCs w:val="24"/>
          <w:lang w:eastAsia="zh-CN"/>
        </w:rPr>
      </w:pPr>
    </w:p>
    <w:p>
      <w:pPr>
        <w:keepNext w:val="0"/>
        <w:keepLines w:val="0"/>
        <w:pageBreakBefore w:val="0"/>
        <w:kinsoku/>
        <w:wordWrap/>
        <w:overflowPunct/>
        <w:topLinePunct w:val="0"/>
        <w:bidi w:val="0"/>
        <w:adjustRightInd w:val="0"/>
        <w:spacing w:line="560" w:lineRule="exact"/>
        <w:ind w:firstLine="364" w:firstLineChars="152"/>
        <w:jc w:val="right"/>
        <w:textAlignment w:val="auto"/>
        <w:outlineLvl w:val="9"/>
        <w:rPr>
          <w:rFonts w:hint="eastAsia" w:asciiTheme="minorEastAsia" w:hAnsiTheme="minorEastAsia" w:eastAsiaTheme="minorEastAsia" w:cstheme="minorEastAsia"/>
          <w:sz w:val="24"/>
          <w:szCs w:val="24"/>
          <w:lang w:eastAsia="zh-CN"/>
        </w:rPr>
      </w:pPr>
    </w:p>
    <w:p>
      <w:pPr>
        <w:keepNext w:val="0"/>
        <w:keepLines w:val="0"/>
        <w:pageBreakBefore w:val="0"/>
        <w:kinsoku/>
        <w:wordWrap/>
        <w:overflowPunct/>
        <w:topLinePunct w:val="0"/>
        <w:bidi w:val="0"/>
        <w:adjustRightInd w:val="0"/>
        <w:spacing w:line="560" w:lineRule="exact"/>
        <w:ind w:firstLine="364" w:firstLineChars="152"/>
        <w:jc w:val="center"/>
        <w:textAlignment w:val="auto"/>
        <w:outlineLvl w:val="9"/>
        <w:rPr>
          <w:rFonts w:hint="eastAsia" w:asciiTheme="minorEastAsia" w:hAnsiTheme="minorEastAsia" w:eastAsiaTheme="minorEastAsia" w:cstheme="minorEastAsia"/>
          <w:color w:val="auto"/>
          <w:sz w:val="24"/>
          <w:szCs w:val="24"/>
          <w:shd w:val="clear" w:color="auto" w:fill="FFFFFF"/>
        </w:rPr>
      </w:pPr>
      <w:r>
        <w:rPr>
          <w:rFonts w:hint="eastAsia" w:ascii="Times New Roman" w:hAnsi="Times New Roman" w:cs="Times New Roman" w:eastAsiaTheme="minorEastAsia"/>
          <w:color w:val="000000"/>
          <w:sz w:val="24"/>
          <w:szCs w:val="24"/>
          <w:highlight w:val="none"/>
          <w:lang w:val="en-US" w:eastAsia="zh-CN"/>
        </w:rPr>
        <w:t xml:space="preserve">                                           聊城信源热电有限公司</w:t>
      </w:r>
    </w:p>
    <w:p>
      <w:pPr>
        <w:keepNext w:val="0"/>
        <w:keepLines w:val="0"/>
        <w:pageBreakBefore w:val="0"/>
        <w:kinsoku/>
        <w:wordWrap/>
        <w:overflowPunct/>
        <w:topLinePunct w:val="0"/>
        <w:bidi w:val="0"/>
        <w:adjustRightInd w:val="0"/>
        <w:spacing w:line="560" w:lineRule="exact"/>
        <w:ind w:right="600" w:firstLine="6240" w:firstLineChars="2600"/>
        <w:textAlignment w:val="auto"/>
        <w:outlineLvl w:val="9"/>
        <w:rPr>
          <w:rFonts w:hint="default" w:ascii="Times New Roman" w:hAnsi="Times New Roman" w:cs="Times New Roman" w:eastAsiaTheme="minorEastAsia"/>
          <w:color w:val="auto"/>
          <w:sz w:val="24"/>
          <w:szCs w:val="24"/>
          <w:shd w:val="clear" w:color="auto" w:fill="FFFFFF"/>
          <w:lang w:bidi="ar"/>
        </w:rPr>
        <w:sectPr>
          <w:footerReference r:id="rId3" w:type="default"/>
          <w:pgSz w:w="11906" w:h="16838"/>
          <w:pgMar w:top="1474" w:right="1588" w:bottom="1134" w:left="1588" w:header="851" w:footer="992" w:gutter="0"/>
          <w:cols w:space="425" w:num="1"/>
          <w:docGrid w:type="lines" w:linePitch="312" w:charSpace="0"/>
        </w:sectPr>
      </w:pPr>
      <w:r>
        <w:rPr>
          <w:rFonts w:hint="default" w:ascii="Times New Roman" w:hAnsi="Times New Roman" w:cs="Times New Roman" w:eastAsiaTheme="minorEastAsia"/>
          <w:color w:val="auto"/>
          <w:sz w:val="24"/>
          <w:szCs w:val="24"/>
          <w:shd w:val="clear" w:color="auto" w:fill="FFFFFF"/>
          <w:lang w:val="en-US" w:eastAsia="zh-CN" w:bidi="ar"/>
        </w:rPr>
        <w:t>202</w:t>
      </w:r>
      <w:r>
        <w:rPr>
          <w:rFonts w:hint="eastAsia" w:ascii="Times New Roman" w:hAnsi="Times New Roman" w:cs="Times New Roman" w:eastAsiaTheme="minorEastAsia"/>
          <w:color w:val="auto"/>
          <w:sz w:val="24"/>
          <w:szCs w:val="24"/>
          <w:shd w:val="clear" w:color="auto" w:fill="FFFFFF"/>
          <w:lang w:val="en-US" w:eastAsia="zh-CN" w:bidi="ar"/>
        </w:rPr>
        <w:t>4</w:t>
      </w:r>
      <w:r>
        <w:rPr>
          <w:rFonts w:hint="default" w:ascii="Times New Roman" w:hAnsi="Times New Roman" w:cs="Times New Roman" w:eastAsiaTheme="minorEastAsia"/>
          <w:color w:val="auto"/>
          <w:sz w:val="24"/>
          <w:szCs w:val="24"/>
          <w:shd w:val="clear" w:color="auto" w:fill="FFFFFF"/>
          <w:lang w:bidi="ar"/>
        </w:rPr>
        <w:t>年</w:t>
      </w:r>
      <w:r>
        <w:rPr>
          <w:rFonts w:hint="eastAsia" w:ascii="Times New Roman" w:hAnsi="Times New Roman" w:cs="Times New Roman" w:eastAsiaTheme="minorEastAsia"/>
          <w:color w:val="auto"/>
          <w:sz w:val="24"/>
          <w:szCs w:val="24"/>
          <w:shd w:val="clear" w:color="auto" w:fill="FFFFFF"/>
          <w:lang w:val="en-US" w:eastAsia="zh-CN" w:bidi="ar"/>
        </w:rPr>
        <w:t>4</w:t>
      </w:r>
      <w:r>
        <w:rPr>
          <w:rFonts w:hint="default" w:ascii="Times New Roman" w:hAnsi="Times New Roman" w:cs="Times New Roman" w:eastAsiaTheme="minorEastAsia"/>
          <w:color w:val="auto"/>
          <w:sz w:val="24"/>
          <w:szCs w:val="24"/>
          <w:shd w:val="clear" w:color="auto" w:fill="FFFFFF"/>
          <w:lang w:bidi="ar"/>
        </w:rPr>
        <w:t>月</w:t>
      </w:r>
      <w:r>
        <w:rPr>
          <w:rFonts w:hint="eastAsia" w:ascii="Times New Roman" w:hAnsi="Times New Roman" w:cs="Times New Roman" w:eastAsiaTheme="minorEastAsia"/>
          <w:color w:val="auto"/>
          <w:sz w:val="24"/>
          <w:szCs w:val="24"/>
          <w:shd w:val="clear" w:color="auto" w:fill="FFFFFF"/>
          <w:lang w:val="en-US" w:eastAsia="zh-CN" w:bidi="ar"/>
        </w:rPr>
        <w:t>14</w:t>
      </w:r>
      <w:r>
        <w:rPr>
          <w:rFonts w:hint="default" w:ascii="Times New Roman" w:hAnsi="Times New Roman" w:cs="Times New Roman" w:eastAsiaTheme="minorEastAsia"/>
          <w:color w:val="auto"/>
          <w:sz w:val="24"/>
          <w:szCs w:val="24"/>
          <w:shd w:val="clear" w:color="auto" w:fill="FFFFFF"/>
          <w:lang w:bidi="ar"/>
        </w:rPr>
        <w:t>日</w:t>
      </w:r>
    </w:p>
    <w:p>
      <w:pPr>
        <w:pStyle w:val="2"/>
        <w:keepNext w:val="0"/>
        <w:keepLines w:val="0"/>
        <w:pageBreakBefore w:val="0"/>
        <w:widowControl w:val="0"/>
        <w:kinsoku/>
        <w:wordWrap/>
        <w:overflowPunct/>
        <w:topLinePunct w:val="0"/>
        <w:autoSpaceDE w:val="0"/>
        <w:autoSpaceDN w:val="0"/>
        <w:bidi w:val="0"/>
        <w:adjustRightInd w:val="0"/>
        <w:snapToGrid/>
        <w:jc w:val="both"/>
        <w:textAlignment w:val="auto"/>
        <w:outlineLvl w:val="9"/>
        <w:rPr>
          <w:rFonts w:hint="eastAsia"/>
          <w:b/>
          <w:bCs/>
          <w:sz w:val="24"/>
          <w:szCs w:val="24"/>
          <w:lang w:eastAsia="zh-CN"/>
        </w:rPr>
      </w:pPr>
      <w:r>
        <w:rPr>
          <w:rFonts w:hint="eastAsia"/>
          <w:b/>
          <w:bCs/>
          <w:sz w:val="24"/>
          <w:szCs w:val="24"/>
          <w:lang w:eastAsia="zh-CN"/>
        </w:rPr>
        <w:t>附件：</w:t>
      </w:r>
    </w:p>
    <w:p>
      <w:pPr>
        <w:pStyle w:val="2"/>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eastAsia="宋体"/>
          <w:lang w:eastAsia="zh-CN"/>
        </w:rPr>
      </w:pPr>
      <w:r>
        <w:rPr>
          <w:rFonts w:hint="eastAsia" w:eastAsia="宋体"/>
          <w:lang w:eastAsia="zh-CN"/>
        </w:rPr>
        <w:drawing>
          <wp:inline distT="0" distB="0" distL="114300" distR="114300">
            <wp:extent cx="5269230" cy="9117965"/>
            <wp:effectExtent l="0" t="0" r="635" b="1270"/>
            <wp:docPr id="1" name="图片 1" descr="278fe08062fdb94dd9626867b3d87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78fe08062fdb94dd9626867b3d87a8"/>
                    <pic:cNvPicPr>
                      <a:picLocks noChangeAspect="1"/>
                    </pic:cNvPicPr>
                  </pic:nvPicPr>
                  <pic:blipFill>
                    <a:blip r:embed="rId5"/>
                    <a:stretch>
                      <a:fillRect/>
                    </a:stretch>
                  </pic:blipFill>
                  <pic:spPr>
                    <a:xfrm rot="16200000">
                      <a:off x="0" y="0"/>
                      <a:ext cx="5269230" cy="9117965"/>
                    </a:xfrm>
                    <a:prstGeom prst="rect">
                      <a:avLst/>
                    </a:prstGeom>
                  </pic:spPr>
                </pic:pic>
              </a:graphicData>
            </a:graphic>
          </wp:inline>
        </w:drawing>
      </w:r>
    </w:p>
    <w:sectPr>
      <w:pgSz w:w="16838" w:h="11906" w:orient="landscape"/>
      <w:pgMar w:top="1588" w:right="1474" w:bottom="158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pPr>
          <w:pStyle w:val="10"/>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hZGRhMDYwZjE0MDg2OTkzMTQ0NWE1NDQ5MjgwNGE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3000"/>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0024"/>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10A29DC"/>
    <w:rsid w:val="01541EA9"/>
    <w:rsid w:val="053F0C01"/>
    <w:rsid w:val="08514A4D"/>
    <w:rsid w:val="08981135"/>
    <w:rsid w:val="0A2D5046"/>
    <w:rsid w:val="0ADB5E7A"/>
    <w:rsid w:val="0C7541D8"/>
    <w:rsid w:val="0C8223EB"/>
    <w:rsid w:val="0CA42951"/>
    <w:rsid w:val="0D4C0587"/>
    <w:rsid w:val="10482845"/>
    <w:rsid w:val="10713983"/>
    <w:rsid w:val="110F3E45"/>
    <w:rsid w:val="140B7F29"/>
    <w:rsid w:val="16154F53"/>
    <w:rsid w:val="16FA4E86"/>
    <w:rsid w:val="17B71A49"/>
    <w:rsid w:val="17FE0021"/>
    <w:rsid w:val="182F2017"/>
    <w:rsid w:val="19A12421"/>
    <w:rsid w:val="1AAE2376"/>
    <w:rsid w:val="1B1851B0"/>
    <w:rsid w:val="1CFD0F69"/>
    <w:rsid w:val="1D300C7D"/>
    <w:rsid w:val="1E77130C"/>
    <w:rsid w:val="1F7E33E3"/>
    <w:rsid w:val="20C33720"/>
    <w:rsid w:val="218C6A2F"/>
    <w:rsid w:val="22B36145"/>
    <w:rsid w:val="26F95E73"/>
    <w:rsid w:val="270B5883"/>
    <w:rsid w:val="288C09DE"/>
    <w:rsid w:val="290B259E"/>
    <w:rsid w:val="29EC3253"/>
    <w:rsid w:val="2A2A5D1E"/>
    <w:rsid w:val="2ABB7EB6"/>
    <w:rsid w:val="2B97636B"/>
    <w:rsid w:val="2C2B6CCA"/>
    <w:rsid w:val="2C962879"/>
    <w:rsid w:val="2F1728B1"/>
    <w:rsid w:val="30674F5B"/>
    <w:rsid w:val="30C6397A"/>
    <w:rsid w:val="30EE4C7F"/>
    <w:rsid w:val="35475771"/>
    <w:rsid w:val="3BD50FCD"/>
    <w:rsid w:val="40095632"/>
    <w:rsid w:val="403B1566"/>
    <w:rsid w:val="42A64878"/>
    <w:rsid w:val="44756DC2"/>
    <w:rsid w:val="44CD1674"/>
    <w:rsid w:val="44E00565"/>
    <w:rsid w:val="452C453B"/>
    <w:rsid w:val="481B311D"/>
    <w:rsid w:val="483A4554"/>
    <w:rsid w:val="49CB3674"/>
    <w:rsid w:val="4A4A4B33"/>
    <w:rsid w:val="4D5558B4"/>
    <w:rsid w:val="51AA71FB"/>
    <w:rsid w:val="52592449"/>
    <w:rsid w:val="52B018E5"/>
    <w:rsid w:val="53DD36D8"/>
    <w:rsid w:val="54EE0658"/>
    <w:rsid w:val="558772CD"/>
    <w:rsid w:val="560C332E"/>
    <w:rsid w:val="57E24C8E"/>
    <w:rsid w:val="59244A43"/>
    <w:rsid w:val="5A0C3D15"/>
    <w:rsid w:val="5BCB7408"/>
    <w:rsid w:val="5C084E7C"/>
    <w:rsid w:val="5C2F2281"/>
    <w:rsid w:val="5EB84053"/>
    <w:rsid w:val="60263F50"/>
    <w:rsid w:val="60A878DC"/>
    <w:rsid w:val="60B82B42"/>
    <w:rsid w:val="614B11AE"/>
    <w:rsid w:val="62536A85"/>
    <w:rsid w:val="641B4FF7"/>
    <w:rsid w:val="649460BF"/>
    <w:rsid w:val="68D4001D"/>
    <w:rsid w:val="6A1877FC"/>
    <w:rsid w:val="6A4662AD"/>
    <w:rsid w:val="6A7038C2"/>
    <w:rsid w:val="6C9227DE"/>
    <w:rsid w:val="6D4541F6"/>
    <w:rsid w:val="6F5F79E8"/>
    <w:rsid w:val="73076EFF"/>
    <w:rsid w:val="7543143E"/>
    <w:rsid w:val="75926377"/>
    <w:rsid w:val="7696248B"/>
    <w:rsid w:val="76A96C4B"/>
    <w:rsid w:val="79CE2470"/>
    <w:rsid w:val="7B910714"/>
    <w:rsid w:val="7CE54755"/>
    <w:rsid w:val="7D422132"/>
    <w:rsid w:val="7EAB7F69"/>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autoRedefine/>
    <w:qFormat/>
    <w:uiPriority w:val="0"/>
    <w:rPr>
      <w:rFonts w:ascii="宋体" w:hAnsi="Courier New"/>
    </w:rPr>
  </w:style>
  <w:style w:type="paragraph" w:styleId="4">
    <w:name w:val="annotation text"/>
    <w:basedOn w:val="1"/>
    <w:link w:val="27"/>
    <w:autoRedefine/>
    <w:qFormat/>
    <w:uiPriority w:val="0"/>
    <w:pPr>
      <w:jc w:val="left"/>
    </w:pPr>
    <w:rPr>
      <w:rFonts w:ascii="Times New Roman" w:hAnsi="Times New Roman"/>
      <w:szCs w:val="20"/>
    </w:rPr>
  </w:style>
  <w:style w:type="paragraph" w:styleId="5">
    <w:name w:val="Body Text"/>
    <w:basedOn w:val="1"/>
    <w:link w:val="25"/>
    <w:autoRedefine/>
    <w:qFormat/>
    <w:uiPriority w:val="0"/>
    <w:pPr>
      <w:spacing w:after="120"/>
    </w:pPr>
    <w:rPr>
      <w:rFonts w:ascii="Times New Roman" w:hAnsi="Times New Roman"/>
      <w:szCs w:val="20"/>
    </w:rPr>
  </w:style>
  <w:style w:type="paragraph" w:styleId="6">
    <w:name w:val="Body Text Indent"/>
    <w:basedOn w:val="1"/>
    <w:next w:val="7"/>
    <w:autoRedefine/>
    <w:unhideWhenUsed/>
    <w:qFormat/>
    <w:uiPriority w:val="99"/>
    <w:pPr>
      <w:ind w:left="420" w:leftChars="200"/>
    </w:pPr>
  </w:style>
  <w:style w:type="paragraph" w:customStyle="1" w:styleId="7">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8">
    <w:name w:val="Plain Text"/>
    <w:basedOn w:val="1"/>
    <w:autoRedefine/>
    <w:qFormat/>
    <w:uiPriority w:val="0"/>
    <w:rPr>
      <w:rFonts w:ascii="宋体" w:hAnsi="Courier New" w:cs="Courier New"/>
      <w:szCs w:val="21"/>
    </w:rPr>
  </w:style>
  <w:style w:type="paragraph" w:styleId="9">
    <w:name w:val="Balloon Text"/>
    <w:basedOn w:val="1"/>
    <w:link w:val="21"/>
    <w:autoRedefine/>
    <w:semiHidden/>
    <w:unhideWhenUsed/>
    <w:qFormat/>
    <w:uiPriority w:val="99"/>
    <w:rPr>
      <w:sz w:val="18"/>
      <w:szCs w:val="18"/>
    </w:rPr>
  </w:style>
  <w:style w:type="paragraph" w:styleId="10">
    <w:name w:val="footer"/>
    <w:basedOn w:val="1"/>
    <w:link w:val="20"/>
    <w:autoRedefine/>
    <w:unhideWhenUsed/>
    <w:qFormat/>
    <w:uiPriority w:val="99"/>
    <w:pPr>
      <w:tabs>
        <w:tab w:val="center" w:pos="4153"/>
        <w:tab w:val="right" w:pos="8306"/>
      </w:tabs>
      <w:snapToGrid w:val="0"/>
      <w:jc w:val="left"/>
    </w:pPr>
    <w:rPr>
      <w:sz w:val="18"/>
      <w:szCs w:val="18"/>
    </w:rPr>
  </w:style>
  <w:style w:type="paragraph" w:styleId="11">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autoRedefine/>
    <w:qFormat/>
    <w:uiPriority w:val="0"/>
    <w:pPr>
      <w:spacing w:after="120"/>
      <w:ind w:left="420" w:leftChars="200"/>
    </w:pPr>
    <w:rPr>
      <w:sz w:val="16"/>
      <w:szCs w:val="16"/>
    </w:rPr>
  </w:style>
  <w:style w:type="paragraph" w:styleId="13">
    <w:name w:val="Body Text First Indent 2"/>
    <w:basedOn w:val="6"/>
    <w:next w:val="1"/>
    <w:autoRedefine/>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autoRedefine/>
    <w:qFormat/>
    <w:uiPriority w:val="0"/>
    <w:rPr>
      <w:sz w:val="21"/>
      <w:szCs w:val="21"/>
    </w:rPr>
  </w:style>
  <w:style w:type="paragraph" w:customStyle="1" w:styleId="18">
    <w:name w:val="li_正文"/>
    <w:basedOn w:val="1"/>
    <w:autoRedefine/>
    <w:qFormat/>
    <w:uiPriority w:val="0"/>
    <w:pPr>
      <w:ind w:firstLine="200" w:firstLineChars="200"/>
      <w:jc w:val="left"/>
    </w:pPr>
    <w:rPr>
      <w:sz w:val="28"/>
      <w:szCs w:val="28"/>
    </w:rPr>
  </w:style>
  <w:style w:type="character" w:customStyle="1" w:styleId="19">
    <w:name w:val="页眉 Char"/>
    <w:basedOn w:val="16"/>
    <w:link w:val="11"/>
    <w:autoRedefine/>
    <w:qFormat/>
    <w:uiPriority w:val="99"/>
    <w:rPr>
      <w:sz w:val="18"/>
      <w:szCs w:val="18"/>
    </w:rPr>
  </w:style>
  <w:style w:type="character" w:customStyle="1" w:styleId="20">
    <w:name w:val="页脚 Char"/>
    <w:basedOn w:val="16"/>
    <w:link w:val="10"/>
    <w:autoRedefine/>
    <w:qFormat/>
    <w:uiPriority w:val="99"/>
    <w:rPr>
      <w:sz w:val="18"/>
      <w:szCs w:val="18"/>
    </w:rPr>
  </w:style>
  <w:style w:type="character" w:customStyle="1" w:styleId="21">
    <w:name w:val="批注框文本 Char"/>
    <w:basedOn w:val="16"/>
    <w:link w:val="9"/>
    <w:autoRedefine/>
    <w:semiHidden/>
    <w:qFormat/>
    <w:uiPriority w:val="99"/>
    <w:rPr>
      <w:rFonts w:ascii="Calibri" w:hAnsi="Calibri" w:eastAsia="宋体" w:cs="Times New Roman"/>
      <w:kern w:val="2"/>
      <w:sz w:val="18"/>
      <w:szCs w:val="18"/>
    </w:rPr>
  </w:style>
  <w:style w:type="paragraph" w:customStyle="1" w:styleId="22">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3">
    <w:name w:val="List Paragraph"/>
    <w:basedOn w:val="1"/>
    <w:autoRedefine/>
    <w:unhideWhenUsed/>
    <w:qFormat/>
    <w:uiPriority w:val="99"/>
    <w:pPr>
      <w:ind w:firstLine="420" w:firstLineChars="200"/>
    </w:pPr>
  </w:style>
  <w:style w:type="paragraph" w:customStyle="1" w:styleId="24">
    <w:name w:val="正1"/>
    <w:basedOn w:val="1"/>
    <w:link w:val="29"/>
    <w:autoRedefine/>
    <w:qFormat/>
    <w:uiPriority w:val="0"/>
    <w:pPr>
      <w:spacing w:line="360" w:lineRule="auto"/>
      <w:ind w:firstLine="200" w:firstLineChars="200"/>
      <w:jc w:val="left"/>
    </w:pPr>
    <w:rPr>
      <w:rFonts w:eastAsia="楷体_GB2312"/>
      <w:sz w:val="24"/>
    </w:rPr>
  </w:style>
  <w:style w:type="character" w:customStyle="1" w:styleId="25">
    <w:name w:val="正文文本 Char"/>
    <w:basedOn w:val="16"/>
    <w:link w:val="5"/>
    <w:autoRedefine/>
    <w:qFormat/>
    <w:uiPriority w:val="0"/>
    <w:rPr>
      <w:kern w:val="2"/>
      <w:sz w:val="21"/>
    </w:rPr>
  </w:style>
  <w:style w:type="paragraph" w:customStyle="1" w:styleId="26">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27">
    <w:name w:val="批注文字 Char"/>
    <w:basedOn w:val="16"/>
    <w:link w:val="4"/>
    <w:autoRedefine/>
    <w:qFormat/>
    <w:uiPriority w:val="0"/>
    <w:rPr>
      <w:kern w:val="2"/>
      <w:sz w:val="21"/>
    </w:rPr>
  </w:style>
  <w:style w:type="paragraph" w:customStyle="1" w:styleId="28">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29">
    <w:name w:val="正1 Char"/>
    <w:link w:val="24"/>
    <w:autoRedefine/>
    <w:qFormat/>
    <w:uiPriority w:val="0"/>
    <w:rPr>
      <w:rFonts w:ascii="Calibri" w:hAnsi="Calibri" w:eastAsia="楷体_GB2312"/>
      <w:kern w:val="2"/>
      <w:sz w:val="24"/>
      <w:szCs w:val="24"/>
    </w:rPr>
  </w:style>
  <w:style w:type="paragraph" w:customStyle="1" w:styleId="30">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1">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2">
    <w:name w:val="NormalCharacter"/>
    <w:autoRedefine/>
    <w:semiHidden/>
    <w:qFormat/>
    <w:uiPriority w:val="0"/>
  </w:style>
  <w:style w:type="paragraph" w:customStyle="1" w:styleId="33">
    <w:name w:val="UserStyle_29"/>
    <w:basedOn w:val="1"/>
    <w:autoRedefine/>
    <w:qFormat/>
    <w:uiPriority w:val="0"/>
    <w:pPr>
      <w:spacing w:line="500" w:lineRule="exact"/>
      <w:ind w:firstLine="48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4006</Words>
  <Characters>4526</Characters>
  <Lines>18</Lines>
  <Paragraphs>5</Paragraphs>
  <TotalTime>6</TotalTime>
  <ScaleCrop>false</ScaleCrop>
  <LinksUpToDate>false</LinksUpToDate>
  <CharactersWithSpaces>4576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只若初见</cp:lastModifiedBy>
  <cp:lastPrinted>2019-02-26T02:51:00Z</cp:lastPrinted>
  <dcterms:modified xsi:type="dcterms:W3CDTF">2024-05-04T02:58:38Z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888C806E354C47839AE64B6C6598DFE8_13</vt:lpwstr>
  </property>
</Properties>
</file>