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r>
        <w:rPr>
          <w:rFonts w:hint="default" w:ascii="Times New Roman" w:hAnsi="Times New Roman" w:cs="Times New Roman" w:eastAsiaTheme="majorEastAsia"/>
          <w:b/>
          <w:bCs/>
          <w:sz w:val="28"/>
          <w:szCs w:val="28"/>
          <w:lang w:eastAsia="zh-CN"/>
        </w:rPr>
        <w:t>聊城市茌平区航睿新材料科技产业有限公司</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default" w:ascii="Times New Roman" w:hAnsi="Times New Roman" w:cs="Times New Roman" w:eastAsiaTheme="majorEastAsia"/>
          <w:b/>
          <w:bCs/>
          <w:sz w:val="28"/>
          <w:szCs w:val="28"/>
          <w:lang w:eastAsia="zh-CN"/>
        </w:rPr>
        <w:t>年产800吨高纯石墨粉项目（二期：年产100吨高纯石墨粉）</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聊城市茌平区航睿新材料科技产业有限公司于2022年04月21日成立，经营范围包括新材料技术研发；石墨及碳素制品销售；石墨及碳素制品制造。随着社会和经济的发展，目前我国高纯石墨材料供不应求，建设聊城市茌平区航睿新材料科技产业有限公司年产800 吨高纯石墨粉项目（二期：年产100吨高纯石墨粉）。该项目占地面积约为1500 m</w:t>
      </w:r>
      <w:r>
        <w:rPr>
          <w:rFonts w:hint="default" w:ascii="Times New Roman" w:hAnsi="Times New Roman" w:cs="Times New Roman" w:eastAsiaTheme="minorEastAsia"/>
          <w:sz w:val="24"/>
          <w:szCs w:val="24"/>
          <w:vertAlign w:val="superscript"/>
          <w:lang w:val="en-US" w:eastAsia="zh-CN"/>
        </w:rPr>
        <w:t>2</w:t>
      </w:r>
      <w:r>
        <w:rPr>
          <w:rFonts w:hint="default" w:ascii="Times New Roman" w:hAnsi="Times New Roman" w:cs="Times New Roman" w:eastAsiaTheme="minorEastAsia"/>
          <w:sz w:val="24"/>
          <w:szCs w:val="24"/>
          <w:lang w:val="en-US" w:eastAsia="zh-CN"/>
        </w:rPr>
        <w:t>，实际投资200万元，环保投资6万元，占项目总投资的3%，新增设备碳化炉（碳管炉）4台建设二期年产100吨高纯石墨粉项目，现已达到二期年产100吨高纯石墨粉的生产能力。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2018年6月，聊城市茌平区航睿新材料科技产业有限公司委托山东蔚海蓝天环境科技集团有限公司编制《聊城市茌平区航睿新材料科技产业有限公司年产800吨高纯石墨粉项目环境影响报告表》，于2022年09月30日获得聊城市茌平区行政审批服务局批复，批复文号：聊茌行审环管〔2022〕64号。2023年04月，聊城市茌平区航睿新材料科技产业有限公司委托聊城欧高环境检测中心对年产800吨高纯石墨粉工程项目（一期：年产500万吨建筑石膏粉）进行自主验收并验收通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2024年05月，公司委托山东玖玺环保科技有</w:t>
      </w:r>
      <w:bookmarkStart w:id="0" w:name="_GoBack"/>
      <w:bookmarkEnd w:id="0"/>
      <w:r>
        <w:rPr>
          <w:rFonts w:hint="default" w:ascii="Times New Roman" w:hAnsi="Times New Roman" w:cs="Times New Roman" w:eastAsiaTheme="minorEastAsia"/>
          <w:sz w:val="24"/>
          <w:szCs w:val="24"/>
          <w:lang w:val="en-US" w:eastAsia="zh-CN"/>
        </w:rPr>
        <w:t>限公司于2024年05月07日、2024年05月08日对聊城市茌平区航睿新材料科技产业有限公司年产800吨高纯石墨粉项目进行分期验收检测。后对检测数据进行分析论证，在此基础上完成了项目竣工环境保护验收监测报告表的编制。本次项目验收范围为二期年产100 吨高纯石墨粉项目。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w:t>
      </w:r>
      <w:r>
        <w:rPr>
          <w:rFonts w:hint="eastAsia" w:ascii="Times New Roman" w:hAnsi="Times New Roman"/>
          <w:color w:val="auto"/>
          <w:sz w:val="24"/>
          <w:szCs w:val="24"/>
          <w:highlight w:val="none"/>
          <w:lang w:eastAsia="zh-CN"/>
        </w:rPr>
        <w:t>聊城市茌平区航睿新材料科技产业有限公司</w:t>
      </w:r>
      <w:r>
        <w:rPr>
          <w:rFonts w:hint="eastAsia" w:ascii="Times New Roman" w:hAnsi="Times New Roman" w:cs="Times New Roman" w:eastAsiaTheme="minorEastAsia"/>
          <w:sz w:val="24"/>
          <w:szCs w:val="24"/>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，于2024年5月19日</w:t>
      </w:r>
      <w:r>
        <w:rPr>
          <w:rFonts w:hint="eastAsia" w:ascii="Times New Roman" w:hAnsi="Times New Roman" w:cs="Times New Roman" w:eastAsiaTheme="minorEastAsia"/>
          <w:sz w:val="24"/>
          <w:szCs w:val="24"/>
          <w:lang w:val="en-US" w:eastAsia="zh-CN"/>
        </w:rPr>
        <w:t>验收工作组原则上同意该项目环保设施通过环保验收。</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①制定《危险废物管理制度》，安排专人负责管理、巡查危险废物储存容器避免容器破损发生泄漏事故。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②危废暂存间内建设裙脚，地面与裙脚用坚固的防渗材料建造，或设置防渗漏、防腐托盘，能保证液体危险废物泄漏后全部围堵在危废间内，不向外扩散。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③厂区总平面布置应严格按照有关的规范设置防火间距及防火要求。项目建设应严格按照《建筑设计防火规范》及《工业火灾危险环境电力装置设计规范》进行。危险性较大的设施与其他生产设施保持足够的防护距离，以免相互影响。分区内部和分区之间的间距按有关防火和消防要求确定，并按规定设计消防通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④根据消防要求设置室内、室外消火栓。配置足量的手提式干粉灭火器、泡沫灭火器、二氧化碳灭火器等消防器材。界区内的消防及检修通道与界区外的主要道路及消防道路相通，确保消防通道通畅。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⑤在生产过程中，应严格按照安全生产的方式，杜绝在厂内使用明火，厂内严格禁烟禁火。</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⑥严格执行消防安全责任制度，责任落实到人，措施到位，加强安全管理，建立安全巡检制度，确保消防安全，避免不必要的事故发生。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⑦制定严格的操作规程，操作人员必须进行安全培训合格后方可进行工作。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⑧加强管理工作，安排专人定期对原材料存放区进行监督、检查，及时淘汰出现安全隐患的容器。不同类别物品单独存放，避免不相容的物品混合运输或存                                                                                                                                                                                                                                                                                                                                                                                                                                                                                                                                                                                                                                                                                                                                                                                                                                                                                                                                                                                                                                                                                                                                                                                                                                                                                                                                                                                                                                                                                                                                                                                                                                                                                                                                                                                                                                                                                                                                                                                                                                                                                                                                                                                                                                                                                                                                                                                                                                                                                                                                                                                                                                                                                                                                                                                                                                                                                                                                                                                                                                                                                                                                                                                                                                                                                                                                                                                                                                                                                                                                                                                                            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 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非重点排污单位、其他排放口的监测指标自行监测要求，本项目废气自行监测计划见下表： </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项目废气自行监测计划一览表</w:t>
      </w:r>
    </w:p>
    <w:tbl>
      <w:tblPr>
        <w:tblStyle w:val="21"/>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613"/>
        <w:gridCol w:w="5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cs="宋体"/>
                <w:b/>
                <w:bCs/>
                <w:color w:val="000000"/>
                <w:kern w:val="0"/>
                <w:sz w:val="24"/>
                <w:szCs w:val="24"/>
                <w:lang w:val="en-US" w:eastAsia="zh-CN" w:bidi="ar"/>
              </w:rPr>
              <w:t>项目</w:t>
            </w:r>
          </w:p>
        </w:tc>
        <w:tc>
          <w:tcPr>
            <w:tcW w:w="7335"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z w:val="24"/>
                <w:szCs w:val="24"/>
                <w:vertAlign w:val="baseline"/>
                <w:lang w:val="en-US" w:eastAsia="zh-CN"/>
              </w:rPr>
            </w:pPr>
            <w:r>
              <w:rPr>
                <w:rFonts w:hint="eastAsia" w:ascii="宋体" w:hAnsi="宋体" w:cs="宋体"/>
                <w:b/>
                <w:bCs/>
                <w:color w:val="000000"/>
                <w:kern w:val="0"/>
                <w:sz w:val="24"/>
                <w:szCs w:val="24"/>
                <w:lang w:val="en-US" w:eastAsia="zh-CN" w:bidi="ar"/>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有组织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废气</w:t>
            </w: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排气筒编号</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DA00</w:t>
            </w:r>
            <w:r>
              <w:rPr>
                <w:rFonts w:hint="eastAsia" w:ascii="Times New Roman" w:hAnsi="Times New Roman" w:cs="Times New Roman"/>
                <w:sz w:val="24"/>
                <w:szCs w:val="24"/>
                <w:vertAlign w:val="baseli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监测因子</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监测布点</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p>
        </w:tc>
        <w:tc>
          <w:tcPr>
            <w:tcW w:w="161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监测频率</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正常生产条件下每年一次，每次连续2天，每天采样</w:t>
            </w:r>
            <w:r>
              <w:rPr>
                <w:rFonts w:hint="eastAsia" w:ascii="Times New Roman" w:hAnsi="Times New Roman" w:cs="Times New Roman"/>
                <w:sz w:val="24"/>
                <w:szCs w:val="24"/>
                <w:vertAlign w:val="baseline"/>
                <w:lang w:val="en-US" w:eastAsia="zh-CN"/>
              </w:rPr>
              <w:t>3</w:t>
            </w:r>
            <w:r>
              <w:rPr>
                <w:rFonts w:hint="default" w:ascii="Times New Roman" w:hAnsi="Times New Roman" w:eastAsia="宋体" w:cs="Times New Roman"/>
                <w:sz w:val="24"/>
                <w:szCs w:val="24"/>
                <w:vertAlign w:val="baseline"/>
                <w:lang w:val="en-US" w:eastAsia="zh-CN"/>
              </w:rPr>
              <w:t>次，采样时间需保证能够达到最低检出限。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p>
        </w:tc>
        <w:tc>
          <w:tcPr>
            <w:tcW w:w="161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非正常情况发生时，随时进行必要的监测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default"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采样分析、数据处理</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按照《空气和废气监测分析方法》、《环境监测技术规范》的有关规定进行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排气筒编号</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DA002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监测因子</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监测布点</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p>
        </w:tc>
        <w:tc>
          <w:tcPr>
            <w:tcW w:w="161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监测频率</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正常生产条件下每年一次，每次连续2天，每天采样</w:t>
            </w:r>
            <w:r>
              <w:rPr>
                <w:rFonts w:hint="eastAsia" w:ascii="Times New Roman" w:hAnsi="Times New Roman" w:cs="Times New Roman"/>
                <w:sz w:val="24"/>
                <w:szCs w:val="24"/>
                <w:vertAlign w:val="baseline"/>
                <w:lang w:val="en-US" w:eastAsia="zh-CN"/>
              </w:rPr>
              <w:t>3</w:t>
            </w:r>
            <w:r>
              <w:rPr>
                <w:rFonts w:hint="default" w:ascii="Times New Roman" w:hAnsi="Times New Roman" w:eastAsia="宋体" w:cs="Times New Roman"/>
                <w:sz w:val="24"/>
                <w:szCs w:val="24"/>
                <w:vertAlign w:val="baseline"/>
                <w:lang w:val="en-US" w:eastAsia="zh-CN"/>
              </w:rPr>
              <w:t>次，采样时间需保证能够达到最低检出限。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p>
        </w:tc>
        <w:tc>
          <w:tcPr>
            <w:tcW w:w="161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非正常情况发生时，随时进行必要的监测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采样分析、数据处理</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按照《空气和废气监测分析方法》、《环境监测技术规范》的有关规定进行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r>
              <w:rPr>
                <w:rStyle w:val="38"/>
                <w:rFonts w:hint="eastAsia" w:ascii="Times New Roman" w:hAnsi="Times New Roman" w:cs="Times New Roman"/>
                <w:sz w:val="24"/>
                <w:lang w:val="en-US" w:eastAsia="zh-CN"/>
              </w:rPr>
              <w:t>无组织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r>
              <w:rPr>
                <w:rStyle w:val="38"/>
                <w:rFonts w:hint="eastAsia" w:ascii="Times New Roman" w:hAnsi="Times New Roman" w:cs="Times New Roman"/>
                <w:sz w:val="24"/>
                <w:lang w:val="en-US" w:eastAsia="zh-CN"/>
              </w:rPr>
              <w:t>废气</w:t>
            </w: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监测因子</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监测布点</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监测频率</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正常生产条件下</w:t>
            </w:r>
            <w:r>
              <w:rPr>
                <w:rFonts w:hint="eastAsia" w:ascii="Times New Roman" w:hAnsi="Times New Roman" w:cs="Times New Roman"/>
                <w:sz w:val="24"/>
                <w:szCs w:val="24"/>
                <w:vertAlign w:val="baseline"/>
                <w:lang w:val="en-US" w:eastAsia="zh-CN"/>
              </w:rPr>
              <w:t>每年一次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非正常情况发生时，随时进行必要的监测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采样分析、数据处理</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按照《空气和废气监测分析方法》、《环境监测技术规范》的有关规定进行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r>
              <w:rPr>
                <w:rStyle w:val="38"/>
                <w:rFonts w:hint="eastAsia" w:ascii="Times New Roman" w:hAnsi="Times New Roman" w:cs="Times New Roman"/>
                <w:sz w:val="24"/>
                <w:lang w:val="en-US" w:eastAsia="zh-CN"/>
              </w:rPr>
              <w:t>噪声</w:t>
            </w: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监测点位</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Style w:val="38"/>
                <w:rFonts w:hint="eastAsia" w:ascii="Times New Roman" w:hAnsi="Times New Roman" w:cs="Times New Roman"/>
                <w:sz w:val="24"/>
                <w:lang w:val="en-US" w:eastAsia="zh-CN"/>
              </w:rPr>
              <w:t>项目东、西、南边界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监测因子</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等效连续A声级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监测频次</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r>
              <w:rPr>
                <w:rStyle w:val="38"/>
                <w:rFonts w:hint="eastAsia" w:ascii="Times New Roman" w:hAnsi="Times New Roman" w:cs="Times New Roman"/>
                <w:sz w:val="24"/>
                <w:lang w:val="en-US" w:eastAsia="zh-CN"/>
              </w:rPr>
              <w:t>执行排放标准</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《工业企业厂界环境噪声排放标准》（GB 12348-2008）的4类标准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r>
              <w:rPr>
                <w:rFonts w:hint="eastAsia" w:ascii="Times New Roman" w:hAnsi="Times New Roman" w:cs="Times New Roman" w:eastAsiaTheme="minorEastAsia"/>
                <w:sz w:val="24"/>
                <w:szCs w:val="24"/>
                <w:vertAlign w:val="baseline"/>
                <w:lang w:val="en-US" w:eastAsia="zh-CN"/>
              </w:rPr>
              <w:t>监测点位</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Style w:val="38"/>
                <w:rFonts w:hint="eastAsia" w:ascii="Times New Roman" w:hAnsi="Times New Roman" w:cs="Times New Roman"/>
                <w:sz w:val="24"/>
                <w:lang w:val="en-US" w:eastAsia="zh-CN"/>
              </w:rPr>
              <w:t>项目北边界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r>
              <w:rPr>
                <w:rFonts w:hint="eastAsia" w:ascii="Times New Roman" w:hAnsi="Times New Roman" w:cs="Times New Roman" w:eastAsiaTheme="minorEastAsia"/>
                <w:sz w:val="24"/>
                <w:szCs w:val="24"/>
                <w:vertAlign w:val="baseline"/>
                <w:lang w:val="en-US" w:eastAsia="zh-CN"/>
              </w:rPr>
              <w:t>监测因子</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等效连续A声级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r>
              <w:rPr>
                <w:rFonts w:hint="eastAsia" w:ascii="Times New Roman" w:hAnsi="Times New Roman" w:cs="Times New Roman" w:eastAsiaTheme="minorEastAsia"/>
                <w:sz w:val="24"/>
                <w:szCs w:val="24"/>
                <w:vertAlign w:val="baseline"/>
                <w:lang w:val="en-US" w:eastAsia="zh-CN"/>
              </w:rPr>
              <w:t>监测频次</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1次/季度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eastAsia="宋体" w:cs="Times New Roman"/>
                <w:sz w:val="24"/>
                <w:lang w:val="en-US" w:eastAsia="zh-CN"/>
              </w:rPr>
            </w:pPr>
          </w:p>
        </w:tc>
        <w:tc>
          <w:tcPr>
            <w:tcW w:w="161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8"/>
                <w:rFonts w:hint="eastAsia" w:ascii="Times New Roman" w:hAnsi="Times New Roman" w:cs="Times New Roman"/>
                <w:sz w:val="24"/>
                <w:lang w:val="en-US" w:eastAsia="zh-CN"/>
              </w:rPr>
            </w:pPr>
            <w:r>
              <w:rPr>
                <w:rStyle w:val="38"/>
                <w:rFonts w:hint="eastAsia" w:ascii="Times New Roman" w:hAnsi="Times New Roman" w:cs="Times New Roman"/>
                <w:sz w:val="24"/>
                <w:lang w:val="en-US" w:eastAsia="zh-CN"/>
              </w:rPr>
              <w:t>执行排放标准</w:t>
            </w:r>
          </w:p>
        </w:tc>
        <w:tc>
          <w:tcPr>
            <w:tcW w:w="57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《工业企业厂界环境噪声排放标准》（GB 12348-2008）的3类标准</w:t>
            </w:r>
          </w:p>
        </w:tc>
      </w:tr>
    </w:tbl>
    <w:p>
      <w:pPr>
        <w:pStyle w:val="2"/>
      </w:pP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项目运营过程中，严格执行排污许可排放标准，一般工业固废严格按照《一般工业固体废物贮存和填埋污染控制标准》（GB 18599-2020）要求执行，危险废物严格按照《危险废物贮存污染控制标准》（GB 18597-2023）要求执行。</w:t>
      </w:r>
    </w:p>
    <w:p>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6D25F48"/>
    <w:rsid w:val="08981135"/>
    <w:rsid w:val="08AC6127"/>
    <w:rsid w:val="0ADB5E7A"/>
    <w:rsid w:val="0B472137"/>
    <w:rsid w:val="0C8223EB"/>
    <w:rsid w:val="0D0001DD"/>
    <w:rsid w:val="11625F1D"/>
    <w:rsid w:val="140B7F29"/>
    <w:rsid w:val="141B57BA"/>
    <w:rsid w:val="16154F53"/>
    <w:rsid w:val="16C15CF6"/>
    <w:rsid w:val="17B71A49"/>
    <w:rsid w:val="182F2017"/>
    <w:rsid w:val="19A12421"/>
    <w:rsid w:val="1A2A15A2"/>
    <w:rsid w:val="1AAE2376"/>
    <w:rsid w:val="1B1851B0"/>
    <w:rsid w:val="1C0D1583"/>
    <w:rsid w:val="1F7E33E3"/>
    <w:rsid w:val="20C33720"/>
    <w:rsid w:val="20FF1092"/>
    <w:rsid w:val="218C6A2F"/>
    <w:rsid w:val="22B36145"/>
    <w:rsid w:val="238E18E1"/>
    <w:rsid w:val="24657C98"/>
    <w:rsid w:val="24C100AF"/>
    <w:rsid w:val="26F95E73"/>
    <w:rsid w:val="270B5883"/>
    <w:rsid w:val="288C09DE"/>
    <w:rsid w:val="2ABB7EB6"/>
    <w:rsid w:val="2F1728B1"/>
    <w:rsid w:val="30674F5B"/>
    <w:rsid w:val="321E3342"/>
    <w:rsid w:val="352B1605"/>
    <w:rsid w:val="35475771"/>
    <w:rsid w:val="39DE1D35"/>
    <w:rsid w:val="3BD50FCD"/>
    <w:rsid w:val="3E3327F4"/>
    <w:rsid w:val="41663B1D"/>
    <w:rsid w:val="42A64878"/>
    <w:rsid w:val="446F2B9F"/>
    <w:rsid w:val="44756DC2"/>
    <w:rsid w:val="44CD1674"/>
    <w:rsid w:val="452C453B"/>
    <w:rsid w:val="468E60A8"/>
    <w:rsid w:val="478466B3"/>
    <w:rsid w:val="486C49B0"/>
    <w:rsid w:val="48AC1250"/>
    <w:rsid w:val="4D5558B4"/>
    <w:rsid w:val="4E751289"/>
    <w:rsid w:val="4EF37070"/>
    <w:rsid w:val="502328A6"/>
    <w:rsid w:val="518A07B0"/>
    <w:rsid w:val="52B018E5"/>
    <w:rsid w:val="536E48F6"/>
    <w:rsid w:val="53DD36D8"/>
    <w:rsid w:val="54E91C64"/>
    <w:rsid w:val="54EE0658"/>
    <w:rsid w:val="550429A6"/>
    <w:rsid w:val="562954F0"/>
    <w:rsid w:val="572B3C88"/>
    <w:rsid w:val="5A0C3D15"/>
    <w:rsid w:val="5C084E7C"/>
    <w:rsid w:val="5F9C768C"/>
    <w:rsid w:val="60A878DC"/>
    <w:rsid w:val="60B82B42"/>
    <w:rsid w:val="62536A85"/>
    <w:rsid w:val="63AE1EC8"/>
    <w:rsid w:val="641B4FF7"/>
    <w:rsid w:val="649460BF"/>
    <w:rsid w:val="64E04972"/>
    <w:rsid w:val="65FD2C93"/>
    <w:rsid w:val="68D4001D"/>
    <w:rsid w:val="6A4662AD"/>
    <w:rsid w:val="6A7038C2"/>
    <w:rsid w:val="6AAE1741"/>
    <w:rsid w:val="6C9227DE"/>
    <w:rsid w:val="6F5F79E8"/>
    <w:rsid w:val="6F737533"/>
    <w:rsid w:val="70904E30"/>
    <w:rsid w:val="71BE777B"/>
    <w:rsid w:val="73EE6D7F"/>
    <w:rsid w:val="75926377"/>
    <w:rsid w:val="7696248B"/>
    <w:rsid w:val="76A35191"/>
    <w:rsid w:val="79425628"/>
    <w:rsid w:val="7A7F09A7"/>
    <w:rsid w:val="7ACF34CF"/>
    <w:rsid w:val="7B910714"/>
    <w:rsid w:val="7C2D2E8E"/>
    <w:rsid w:val="7CC72557"/>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paragraph" w:styleId="6">
    <w:name w:val="annotation text"/>
    <w:basedOn w:val="1"/>
    <w:link w:val="33"/>
    <w:autoRedefine/>
    <w:qFormat/>
    <w:uiPriority w:val="0"/>
    <w:pPr>
      <w:jc w:val="left"/>
    </w:pPr>
    <w:rPr>
      <w:rFonts w:ascii="Times New Roman" w:hAnsi="Times New Roman"/>
      <w:szCs w:val="20"/>
    </w:rPr>
  </w:style>
  <w:style w:type="paragraph" w:styleId="7">
    <w:name w:val="Body Text"/>
    <w:basedOn w:val="1"/>
    <w:link w:val="31"/>
    <w:qFormat/>
    <w:uiPriority w:val="0"/>
    <w:pPr>
      <w:spacing w:after="120"/>
    </w:pPr>
    <w:rPr>
      <w:rFonts w:ascii="Times New Roman" w:hAnsi="Times New Roman"/>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0"/>
    <w:next w:val="11"/>
    <w:autoRedefine/>
    <w:qFormat/>
    <w:uiPriority w:val="0"/>
    <w:pPr>
      <w:spacing w:after="120" w:line="360" w:lineRule="auto"/>
      <w:ind w:left="90" w:leftChars="32" w:firstLine="560" w:firstLineChars="200"/>
    </w:pPr>
    <w:rPr>
      <w:rFonts w:cs="宋体"/>
    </w:rPr>
  </w:style>
  <w:style w:type="paragraph" w:customStyle="1" w:styleId="10">
    <w:name w:val="Body Text Indent"/>
    <w:basedOn w:val="1"/>
    <w:next w:val="9"/>
    <w:qFormat/>
    <w:uiPriority w:val="0"/>
    <w:pPr>
      <w:spacing w:after="120" w:afterLines="0"/>
      <w:ind w:left="420" w:leftChars="200"/>
    </w:pPr>
    <w:rPr>
      <w:rFonts w:ascii="Times New Roman" w:hAnsi="Times New Roman" w:eastAsia="宋体"/>
      <w:sz w:val="24"/>
    </w:rPr>
  </w:style>
  <w:style w:type="paragraph" w:styleId="11">
    <w:name w:val="header"/>
    <w:basedOn w:val="1"/>
    <w:next w:val="12"/>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样式5"/>
    <w:basedOn w:val="13"/>
    <w:qFormat/>
    <w:uiPriority w:val="0"/>
    <w:pPr>
      <w:spacing w:line="360" w:lineRule="auto"/>
      <w:ind w:firstLine="510"/>
    </w:pPr>
    <w:rPr>
      <w:rFonts w:ascii="Times New Roman" w:hAnsi="Times New Roman" w:eastAsia="宋体"/>
      <w:sz w:val="24"/>
    </w:rPr>
  </w:style>
  <w:style w:type="paragraph" w:customStyle="1" w:styleId="13">
    <w:name w:val="正文1"/>
    <w:basedOn w:val="1"/>
    <w:qFormat/>
    <w:uiPriority w:val="0"/>
    <w:pPr>
      <w:jc w:val="center"/>
    </w:pPr>
    <w:rPr>
      <w:rFonts w:ascii="宋体" w:hAnsi="宋体"/>
      <w:kern w:val="36"/>
    </w:rPr>
  </w:style>
  <w:style w:type="paragraph" w:styleId="14">
    <w:name w:val="Plain Text"/>
    <w:basedOn w:val="1"/>
    <w:next w:val="8"/>
    <w:autoRedefine/>
    <w:qFormat/>
    <w:uiPriority w:val="0"/>
    <w:rPr>
      <w:rFonts w:ascii="宋体" w:hAnsi="Courier New" w:cs="Courier New"/>
      <w:szCs w:val="21"/>
    </w:rPr>
  </w:style>
  <w:style w:type="paragraph" w:styleId="15">
    <w:name w:val="Balloon Text"/>
    <w:basedOn w:val="1"/>
    <w:link w:val="27"/>
    <w:autoRedefine/>
    <w:semiHidden/>
    <w:unhideWhenUsed/>
    <w:qFormat/>
    <w:uiPriority w:val="99"/>
    <w:rPr>
      <w:sz w:val="18"/>
      <w:szCs w:val="18"/>
    </w:rPr>
  </w:style>
  <w:style w:type="paragraph" w:styleId="16">
    <w:name w:val="footer"/>
    <w:basedOn w:val="1"/>
    <w:link w:val="26"/>
    <w:autoRedefine/>
    <w:unhideWhenUsed/>
    <w:qFormat/>
    <w:uiPriority w:val="99"/>
    <w:pPr>
      <w:tabs>
        <w:tab w:val="center" w:pos="4153"/>
        <w:tab w:val="right" w:pos="8306"/>
      </w:tabs>
      <w:snapToGrid w:val="0"/>
      <w:jc w:val="left"/>
    </w:pPr>
    <w:rPr>
      <w:sz w:val="18"/>
      <w:szCs w:val="18"/>
    </w:rPr>
  </w:style>
  <w:style w:type="paragraph" w:styleId="17">
    <w:name w:val="Body Text Indent 3"/>
    <w:basedOn w:val="1"/>
    <w:autoRedefine/>
    <w:qFormat/>
    <w:uiPriority w:val="0"/>
    <w:pPr>
      <w:spacing w:after="120"/>
      <w:ind w:left="420" w:leftChars="200"/>
    </w:pPr>
    <w:rPr>
      <w:sz w:val="16"/>
      <w:szCs w:val="16"/>
    </w:rPr>
  </w:style>
  <w:style w:type="paragraph" w:styleId="1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2"/>
    <w:basedOn w:val="8"/>
    <w:next w:val="1"/>
    <w:autoRedefine/>
    <w:qFormat/>
    <w:uiPriority w:val="0"/>
    <w:pPr>
      <w:ind w:firstLine="420" w:firstLineChars="2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autoRedefine/>
    <w:qFormat/>
    <w:uiPriority w:val="0"/>
    <w:rPr>
      <w:sz w:val="21"/>
      <w:szCs w:val="21"/>
    </w:rPr>
  </w:style>
  <w:style w:type="paragraph" w:customStyle="1" w:styleId="24">
    <w:name w:val="li_正文"/>
    <w:basedOn w:val="1"/>
    <w:autoRedefine/>
    <w:qFormat/>
    <w:uiPriority w:val="0"/>
    <w:pPr>
      <w:ind w:firstLine="200" w:firstLineChars="200"/>
      <w:jc w:val="left"/>
    </w:pPr>
    <w:rPr>
      <w:sz w:val="28"/>
      <w:szCs w:val="28"/>
    </w:rPr>
  </w:style>
  <w:style w:type="character" w:customStyle="1" w:styleId="25">
    <w:name w:val="页眉 Char"/>
    <w:basedOn w:val="22"/>
    <w:link w:val="11"/>
    <w:autoRedefine/>
    <w:qFormat/>
    <w:uiPriority w:val="99"/>
    <w:rPr>
      <w:sz w:val="18"/>
      <w:szCs w:val="18"/>
    </w:rPr>
  </w:style>
  <w:style w:type="character" w:customStyle="1" w:styleId="26">
    <w:name w:val="页脚 Char"/>
    <w:basedOn w:val="22"/>
    <w:link w:val="16"/>
    <w:autoRedefine/>
    <w:qFormat/>
    <w:uiPriority w:val="99"/>
    <w:rPr>
      <w:sz w:val="18"/>
      <w:szCs w:val="18"/>
    </w:rPr>
  </w:style>
  <w:style w:type="character" w:customStyle="1" w:styleId="27">
    <w:name w:val="批注框文本 Char"/>
    <w:basedOn w:val="22"/>
    <w:link w:val="15"/>
    <w:autoRedefine/>
    <w:semiHidden/>
    <w:qFormat/>
    <w:uiPriority w:val="99"/>
    <w:rPr>
      <w:rFonts w:ascii="Calibri" w:hAnsi="Calibri" w:eastAsia="宋体" w:cs="Times New Roman"/>
      <w:kern w:val="2"/>
      <w:sz w:val="18"/>
      <w:szCs w:val="18"/>
    </w:rPr>
  </w:style>
  <w:style w:type="paragraph" w:customStyle="1" w:styleId="28">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9">
    <w:name w:val="List Paragraph"/>
    <w:basedOn w:val="1"/>
    <w:autoRedefine/>
    <w:unhideWhenUsed/>
    <w:qFormat/>
    <w:uiPriority w:val="99"/>
    <w:pPr>
      <w:ind w:firstLine="420" w:firstLineChars="200"/>
    </w:pPr>
  </w:style>
  <w:style w:type="paragraph" w:customStyle="1" w:styleId="30">
    <w:name w:val="正1"/>
    <w:basedOn w:val="1"/>
    <w:link w:val="35"/>
    <w:autoRedefine/>
    <w:qFormat/>
    <w:uiPriority w:val="0"/>
    <w:pPr>
      <w:spacing w:line="360" w:lineRule="auto"/>
      <w:ind w:firstLine="200" w:firstLineChars="200"/>
      <w:jc w:val="left"/>
    </w:pPr>
    <w:rPr>
      <w:rFonts w:eastAsia="楷体_GB2312"/>
      <w:sz w:val="24"/>
    </w:rPr>
  </w:style>
  <w:style w:type="character" w:customStyle="1" w:styleId="31">
    <w:name w:val="正文文本 Char"/>
    <w:basedOn w:val="22"/>
    <w:link w:val="7"/>
    <w:autoRedefine/>
    <w:qFormat/>
    <w:uiPriority w:val="0"/>
    <w:rPr>
      <w:kern w:val="2"/>
      <w:sz w:val="21"/>
    </w:rPr>
  </w:style>
  <w:style w:type="paragraph" w:customStyle="1" w:styleId="32">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3">
    <w:name w:val="批注文字 Char"/>
    <w:basedOn w:val="22"/>
    <w:link w:val="6"/>
    <w:autoRedefine/>
    <w:qFormat/>
    <w:uiPriority w:val="0"/>
    <w:rPr>
      <w:kern w:val="2"/>
      <w:sz w:val="21"/>
    </w:rPr>
  </w:style>
  <w:style w:type="paragraph" w:customStyle="1" w:styleId="34">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5">
    <w:name w:val="正1 Char"/>
    <w:link w:val="30"/>
    <w:autoRedefine/>
    <w:qFormat/>
    <w:uiPriority w:val="0"/>
    <w:rPr>
      <w:rFonts w:ascii="Calibri" w:hAnsi="Calibri" w:eastAsia="楷体_GB2312"/>
      <w:kern w:val="2"/>
      <w:sz w:val="24"/>
      <w:szCs w:val="24"/>
    </w:rPr>
  </w:style>
  <w:style w:type="paragraph" w:customStyle="1" w:styleId="36">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7">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8">
    <w:name w:val="NormalCharacter"/>
    <w:autoRedefine/>
    <w:semiHidden/>
    <w:qFormat/>
    <w:uiPriority w:val="0"/>
  </w:style>
  <w:style w:type="paragraph" w:customStyle="1" w:styleId="39">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40">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3183</Words>
  <Characters>3341</Characters>
  <Lines>18</Lines>
  <Paragraphs>5</Paragraphs>
  <TotalTime>0</TotalTime>
  <ScaleCrop>false</ScaleCrop>
  <LinksUpToDate>false</LinksUpToDate>
  <CharactersWithSpaces>6842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Administrator</cp:lastModifiedBy>
  <cp:lastPrinted>2019-02-26T02:51:00Z</cp:lastPrinted>
  <dcterms:modified xsi:type="dcterms:W3CDTF">2024-07-16T01:47:53Z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2E48D0C303DB46B78E4AEE9DD17F89AB_13</vt:lpwstr>
  </property>
</Properties>
</file>