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5B03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30"/>
          <w:szCs w:val="30"/>
          <w:lang w:val="en-US" w:eastAsia="zh-CN"/>
        </w:rPr>
      </w:pPr>
      <w:r>
        <w:rPr>
          <w:rFonts w:hint="eastAsia" w:ascii="Times New Roman" w:hAnsi="Times New Roman" w:cs="Times New Roman" w:eastAsiaTheme="majorEastAsia"/>
          <w:b/>
          <w:bCs/>
          <w:sz w:val="30"/>
          <w:szCs w:val="30"/>
          <w:lang w:val="en-US" w:eastAsia="zh-CN"/>
        </w:rPr>
        <w:t>聊城市茌平区国丰木业有限公司年产200万平方米饰面人造板项目</w:t>
      </w:r>
    </w:p>
    <w:p w14:paraId="11C5177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30"/>
          <w:szCs w:val="30"/>
          <w:lang w:eastAsia="zh-CN"/>
        </w:rPr>
      </w:pPr>
      <w:r>
        <w:rPr>
          <w:rFonts w:hint="default" w:ascii="Times New Roman" w:hAnsi="Times New Roman" w:cs="Times New Roman" w:eastAsiaTheme="majorEastAsia"/>
          <w:b/>
          <w:bCs/>
          <w:sz w:val="30"/>
          <w:szCs w:val="30"/>
          <w:lang w:eastAsia="zh-CN"/>
        </w:rPr>
        <w:t>竣工环境保护验收</w:t>
      </w:r>
      <w:r>
        <w:rPr>
          <w:rFonts w:hint="eastAsia" w:ascii="Times New Roman" w:hAnsi="Times New Roman" w:cs="Times New Roman" w:eastAsiaTheme="majorEastAsia"/>
          <w:b/>
          <w:bCs/>
          <w:sz w:val="30"/>
          <w:szCs w:val="30"/>
          <w:lang w:eastAsia="zh-CN"/>
        </w:rPr>
        <w:t>其他需要说明的事项</w:t>
      </w:r>
    </w:p>
    <w:p w14:paraId="4D0C8C7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建设项目竣工环境保护验收暂行办法》，建设单位在“其他需要说明的事项”中应当如实记载环境保护设施设计、施工和验收过程简况、环境影响报告书（表）及其审批部门审批决定中提出的除环境保护设施外的其他环境保护对策措施的实施情况，以及整改工作情况等。现将建设单位需要说明的具体内容和要求列举如下：</w:t>
      </w:r>
    </w:p>
    <w:p w14:paraId="141A1CB1">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val="en-US" w:eastAsia="zh-CN"/>
        </w:rPr>
        <w:t xml:space="preserve">1 </w:t>
      </w:r>
      <w:r>
        <w:rPr>
          <w:rFonts w:hint="default" w:ascii="Times New Roman" w:hAnsi="Times New Roman" w:cs="Times New Roman" w:eastAsiaTheme="minorEastAsia"/>
          <w:b/>
          <w:sz w:val="28"/>
          <w:szCs w:val="28"/>
        </w:rPr>
        <w:t>环境保护设施设计、施工和验收过程简况</w:t>
      </w:r>
    </w:p>
    <w:p w14:paraId="23A9A4C6">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1.1 项目</w:t>
      </w:r>
      <w:r>
        <w:rPr>
          <w:rFonts w:hint="default" w:ascii="Times New Roman" w:hAnsi="Times New Roman" w:cs="Times New Roman" w:eastAsiaTheme="minorEastAsia"/>
          <w:b/>
          <w:sz w:val="28"/>
          <w:szCs w:val="28"/>
        </w:rPr>
        <w:t>设计简况</w:t>
      </w:r>
      <w:r>
        <w:rPr>
          <w:rFonts w:hint="default" w:ascii="Times New Roman" w:hAnsi="Times New Roman" w:cs="Times New Roman" w:eastAsiaTheme="minorEastAsia"/>
          <w:b/>
          <w:sz w:val="28"/>
          <w:szCs w:val="28"/>
          <w:lang w:val="en-US" w:eastAsia="zh-CN"/>
        </w:rPr>
        <w:t xml:space="preserve"> </w:t>
      </w:r>
    </w:p>
    <w:p w14:paraId="58110CA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w:t>
      </w:r>
      <w:r>
        <w:rPr>
          <w:rFonts w:hint="default" w:ascii="Times New Roman" w:hAnsi="Times New Roman" w:cs="Times New Roman" w:eastAsiaTheme="minorEastAsia"/>
          <w:sz w:val="24"/>
          <w:szCs w:val="24"/>
          <w:lang w:val="en-US" w:eastAsia="zh-CN"/>
        </w:rPr>
        <w:t>项目的环境保护设施</w:t>
      </w:r>
      <w:r>
        <w:rPr>
          <w:rFonts w:hint="eastAsia" w:ascii="Times New Roman" w:hAnsi="Times New Roman" w:cs="Times New Roman" w:eastAsiaTheme="minorEastAsia"/>
          <w:sz w:val="24"/>
          <w:szCs w:val="24"/>
          <w:lang w:val="en-US" w:eastAsia="zh-CN"/>
        </w:rPr>
        <w:t>未</w:t>
      </w:r>
      <w:r>
        <w:rPr>
          <w:rFonts w:hint="default" w:ascii="Times New Roman" w:hAnsi="Times New Roman" w:cs="Times New Roman" w:eastAsiaTheme="minorEastAsia"/>
          <w:sz w:val="24"/>
          <w:szCs w:val="24"/>
          <w:lang w:val="en-US" w:eastAsia="zh-CN"/>
        </w:rPr>
        <w:t>纳入了初步设计，环境保护设施的设计符合环境保护设计规范的要求，落实了防治污染和生态破环的措施以及环境保护设施投资概算。</w:t>
      </w:r>
    </w:p>
    <w:p w14:paraId="04A12177">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1.2</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施工简况</w:t>
      </w:r>
      <w:r>
        <w:rPr>
          <w:rFonts w:hint="eastAsia" w:ascii="Times New Roman" w:hAnsi="Times New Roman" w:cs="Times New Roman" w:eastAsiaTheme="minorEastAsia"/>
          <w:b/>
          <w:sz w:val="28"/>
          <w:szCs w:val="28"/>
          <w:lang w:val="en-US" w:eastAsia="zh-CN"/>
        </w:rPr>
        <w:t xml:space="preserve"> </w:t>
      </w:r>
    </w:p>
    <w:p w14:paraId="4D2418E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本项目已将环境保护设施纳入了施工合同，环境保护设施的建设进度和资金得到了保证，项目建设过程中组织实施了环境影响报告表及其审批部门审批决定中提出的环境保护对策措施。</w:t>
      </w:r>
    </w:p>
    <w:p w14:paraId="1558DF2C">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1.3</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验收过程简况</w:t>
      </w:r>
      <w:r>
        <w:rPr>
          <w:rFonts w:hint="eastAsia" w:ascii="Times New Roman" w:hAnsi="Times New Roman" w:cs="Times New Roman" w:eastAsiaTheme="minorEastAsia"/>
          <w:b/>
          <w:sz w:val="28"/>
          <w:szCs w:val="28"/>
          <w:lang w:val="en-US" w:eastAsia="zh-CN"/>
        </w:rPr>
        <w:t xml:space="preserve"> </w:t>
      </w:r>
    </w:p>
    <w:p w14:paraId="42EA44E7">
      <w:pPr>
        <w:widowControl w:val="0"/>
        <w:spacing w:line="360" w:lineRule="auto"/>
        <w:ind w:firstLine="480" w:firstLineChars="200"/>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聊城市茌平区国丰木业有限公司成立于2020年12月，位于聊城市茌平区信发街道永昌路205号，主要经营范围为地板制造；地板销售；门窗制造加工等。随着市场对人造板家具需求的增长，市场对人造板的需求随之增加，聊城市茌平区国丰木业有限公司投资400万元，建设聊城市茌平区国丰木业有限公司年产200万平方米饰面人造板项目，项目建成后达到了年产200万平方米饰面人造板的能力。</w:t>
      </w:r>
    </w:p>
    <w:p w14:paraId="20AA89C8">
      <w:pPr>
        <w:widowControl w:val="0"/>
        <w:spacing w:line="360" w:lineRule="auto"/>
        <w:ind w:firstLine="480" w:firstLineChars="200"/>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4</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5</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eastAsia="zh-CN"/>
        </w:rPr>
        <w:t>聊城市茌平区国丰木业有限公司</w:t>
      </w:r>
      <w:r>
        <w:rPr>
          <w:rFonts w:ascii="Times New Roman" w:hAnsi="Times New Roman" w:eastAsia="宋体"/>
          <w:color w:val="auto"/>
          <w:sz w:val="24"/>
          <w:szCs w:val="24"/>
          <w:highlight w:val="none"/>
        </w:rPr>
        <w:t>委托</w:t>
      </w:r>
      <w:r>
        <w:rPr>
          <w:rFonts w:hint="eastAsia" w:ascii="Times New Roman" w:hAnsi="Times New Roman" w:eastAsia="宋体"/>
          <w:color w:val="auto"/>
          <w:sz w:val="24"/>
          <w:szCs w:val="24"/>
          <w:highlight w:val="none"/>
          <w:lang w:eastAsia="zh-CN"/>
        </w:rPr>
        <w:t>山东蔚海蓝天环境科技集团有限公司</w:t>
      </w:r>
      <w:r>
        <w:rPr>
          <w:rFonts w:ascii="Times New Roman" w:hAnsi="Times New Roman" w:eastAsia="宋体"/>
          <w:color w:val="auto"/>
          <w:sz w:val="24"/>
          <w:szCs w:val="24"/>
          <w:highlight w:val="none"/>
        </w:rPr>
        <w:t>编制《</w:t>
      </w:r>
      <w:r>
        <w:rPr>
          <w:rFonts w:hint="eastAsia" w:ascii="Times New Roman" w:hAnsi="Times New Roman" w:eastAsia="宋体"/>
          <w:color w:val="auto"/>
          <w:sz w:val="24"/>
          <w:szCs w:val="24"/>
          <w:highlight w:val="none"/>
          <w:lang w:eastAsia="zh-CN"/>
        </w:rPr>
        <w:t>聊城市茌平区国丰木业有限公司年产200万平方米饰面人造板项目</w:t>
      </w:r>
      <w:r>
        <w:rPr>
          <w:rFonts w:ascii="Times New Roman" w:hAnsi="Times New Roman" w:eastAsia="宋体"/>
          <w:color w:val="auto"/>
          <w:sz w:val="24"/>
          <w:szCs w:val="24"/>
          <w:highlight w:val="none"/>
        </w:rPr>
        <w:t>环境影响报告表》，202</w:t>
      </w:r>
      <w:r>
        <w:rPr>
          <w:rFonts w:hint="eastAsia" w:ascii="Times New Roman" w:hAnsi="Times New Roman" w:eastAsia="宋体"/>
          <w:color w:val="auto"/>
          <w:sz w:val="24"/>
          <w:szCs w:val="24"/>
          <w:highlight w:val="none"/>
          <w:lang w:val="en-US" w:eastAsia="zh-CN"/>
        </w:rPr>
        <w:t>4</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6</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val="en-US" w:eastAsia="zh-CN"/>
        </w:rPr>
        <w:t>19</w:t>
      </w:r>
      <w:r>
        <w:rPr>
          <w:rFonts w:ascii="Times New Roman" w:hAnsi="Times New Roman" w:eastAsia="宋体"/>
          <w:color w:val="auto"/>
          <w:sz w:val="24"/>
          <w:szCs w:val="24"/>
          <w:highlight w:val="none"/>
        </w:rPr>
        <w:t>日聊城市茌平区行政审批服务局以</w:t>
      </w:r>
      <w:r>
        <w:rPr>
          <w:rFonts w:hint="eastAsia" w:ascii="Times New Roman" w:hAnsi="Times New Roman" w:eastAsia="宋体"/>
          <w:color w:val="auto"/>
          <w:sz w:val="24"/>
          <w:szCs w:val="24"/>
          <w:highlight w:val="none"/>
          <w:lang w:eastAsia="zh-CN"/>
        </w:rPr>
        <w:t>聊茌行审环管〔202</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val="en-US" w:eastAsia="zh-CN"/>
        </w:rPr>
        <w:t>64</w:t>
      </w:r>
      <w:r>
        <w:rPr>
          <w:rFonts w:hint="eastAsia" w:ascii="Times New Roman" w:hAnsi="Times New Roman" w:eastAsia="宋体"/>
          <w:color w:val="auto"/>
          <w:sz w:val="24"/>
          <w:szCs w:val="24"/>
          <w:highlight w:val="none"/>
          <w:lang w:eastAsia="zh-CN"/>
        </w:rPr>
        <w:t>号</w:t>
      </w:r>
      <w:r>
        <w:rPr>
          <w:rFonts w:hint="eastAsia" w:ascii="Times New Roman" w:hAnsi="Times New Roman" w:eastAsia="宋体"/>
          <w:color w:val="auto"/>
          <w:sz w:val="24"/>
          <w:szCs w:val="24"/>
          <w:highlight w:val="none"/>
        </w:rPr>
        <w:t>文</w:t>
      </w:r>
      <w:r>
        <w:rPr>
          <w:rFonts w:ascii="Times New Roman" w:hAnsi="Times New Roman" w:eastAsia="宋体"/>
          <w:color w:val="auto"/>
          <w:sz w:val="24"/>
          <w:szCs w:val="24"/>
          <w:highlight w:val="none"/>
        </w:rPr>
        <w:t>对该项目进行了批复。</w:t>
      </w:r>
    </w:p>
    <w:p w14:paraId="459BF63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eastAsia="宋体" w:cs="Times New Roman"/>
          <w:color w:val="auto"/>
          <w:sz w:val="24"/>
          <w:szCs w:val="24"/>
          <w:highlight w:val="none"/>
          <w:lang w:val="en-US" w:eastAsia="zh-CN"/>
        </w:rPr>
        <w:t>2024年7月，</w:t>
      </w:r>
      <w:r>
        <w:rPr>
          <w:rFonts w:hint="eastAsia" w:ascii="Times New Roman" w:hAnsi="Times New Roman" w:eastAsia="宋体" w:cs="Times New Roman"/>
          <w:color w:val="auto"/>
          <w:sz w:val="24"/>
          <w:szCs w:val="24"/>
          <w:highlight w:val="none"/>
          <w:lang w:eastAsia="zh-CN"/>
        </w:rPr>
        <w:t>聊城市茌平区国丰木业有限公司</w:t>
      </w:r>
      <w:r>
        <w:rPr>
          <w:rFonts w:ascii="Times New Roman" w:hAnsi="Times New Roman" w:eastAsia="宋体" w:cs="Times New Roman"/>
          <w:color w:val="auto"/>
          <w:sz w:val="24"/>
          <w:szCs w:val="24"/>
          <w:highlight w:val="none"/>
        </w:rPr>
        <w:t>委托</w:t>
      </w:r>
      <w:r>
        <w:rPr>
          <w:rFonts w:hint="eastAsia" w:ascii="Times New Roman" w:hAnsi="Times New Roman" w:eastAsia="宋体" w:cs="Times New Roman"/>
          <w:color w:val="auto"/>
          <w:sz w:val="24"/>
          <w:szCs w:val="24"/>
          <w:highlight w:val="none"/>
          <w:lang w:eastAsia="zh-CN"/>
        </w:rPr>
        <w:t>山东玖玺环保科技有限公司</w:t>
      </w:r>
      <w:r>
        <w:rPr>
          <w:rFonts w:ascii="Times New Roman" w:hAnsi="Times New Roman" w:eastAsia="宋体" w:cs="Times New Roman"/>
          <w:color w:val="auto"/>
          <w:sz w:val="24"/>
          <w:szCs w:val="24"/>
          <w:highlight w:val="none"/>
        </w:rPr>
        <w:t>于202</w:t>
      </w:r>
      <w:r>
        <w:rPr>
          <w:rFonts w:hint="eastAsia" w:ascii="Times New Roman" w:hAnsi="Times New Roman" w:eastAsia="宋体" w:cs="Times New Roman"/>
          <w:color w:val="auto"/>
          <w:sz w:val="24"/>
          <w:szCs w:val="24"/>
          <w:highlight w:val="none"/>
          <w:lang w:val="en-US" w:eastAsia="zh-CN"/>
        </w:rPr>
        <w:t>4</w:t>
      </w:r>
      <w:r>
        <w:rPr>
          <w:rFonts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7</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10</w:t>
      </w:r>
      <w:r>
        <w:rPr>
          <w:rFonts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7</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11</w:t>
      </w:r>
      <w:r>
        <w:rPr>
          <w:rFonts w:ascii="Times New Roman" w:hAnsi="Times New Roman" w:eastAsia="宋体" w:cs="Times New Roman"/>
          <w:color w:val="auto"/>
          <w:sz w:val="24"/>
          <w:szCs w:val="24"/>
          <w:highlight w:val="none"/>
        </w:rPr>
        <w:t>日对</w:t>
      </w:r>
      <w:r>
        <w:rPr>
          <w:rFonts w:hint="eastAsia" w:ascii="Times New Roman" w:hAnsi="Times New Roman" w:eastAsia="宋体" w:cs="Times New Roman"/>
          <w:color w:val="auto"/>
          <w:sz w:val="24"/>
          <w:szCs w:val="24"/>
          <w:highlight w:val="none"/>
          <w:lang w:eastAsia="zh-CN"/>
        </w:rPr>
        <w:t>聊城市茌平区国丰木业有限公司年产200万平方米饰面人造板项目</w:t>
      </w:r>
      <w:r>
        <w:rPr>
          <w:rFonts w:ascii="Times New Roman" w:hAnsi="Times New Roman" w:eastAsia="宋体" w:cs="Times New Roman"/>
          <w:color w:val="auto"/>
          <w:sz w:val="24"/>
          <w:szCs w:val="24"/>
          <w:highlight w:val="none"/>
        </w:rPr>
        <w:t>进行了验收检测。后对检测数据进行分析论证，在此基础上完成了项目竣工环境保护验收监测报告表的编制。</w:t>
      </w:r>
      <w:r>
        <w:rPr>
          <w:rFonts w:hint="eastAsia" w:ascii="Times New Roman" w:hAnsi="Times New Roman" w:eastAsia="宋体" w:cs="Times New Roman"/>
          <w:color w:val="auto"/>
          <w:sz w:val="24"/>
          <w:szCs w:val="24"/>
          <w:highlight w:val="none"/>
          <w:lang w:eastAsia="zh-CN"/>
        </w:rPr>
        <w:t>本次项目验收范围为</w:t>
      </w:r>
      <w:r>
        <w:rPr>
          <w:rFonts w:hint="eastAsia" w:ascii="Times New Roman" w:hAnsi="Times New Roman" w:eastAsia="宋体"/>
          <w:color w:val="auto"/>
          <w:sz w:val="24"/>
          <w:szCs w:val="24"/>
          <w:highlight w:val="none"/>
          <w:lang w:eastAsia="zh-CN"/>
        </w:rPr>
        <w:t>年产200万平方米饰面人造板</w:t>
      </w:r>
      <w:r>
        <w:rPr>
          <w:rFonts w:hint="eastAsia" w:ascii="Times New Roman" w:hAnsi="Times New Roman" w:eastAsia="宋体" w:cs="Times New Roman"/>
          <w:color w:val="auto"/>
          <w:sz w:val="24"/>
          <w:szCs w:val="24"/>
          <w:highlight w:val="none"/>
          <w:lang w:val="en-US" w:eastAsia="zh-CN"/>
        </w:rPr>
        <w:t>工程</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08</w:t>
      </w:r>
      <w:r>
        <w:rPr>
          <w:rFonts w:hint="eastAsia"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val="en-US" w:eastAsia="zh-CN"/>
        </w:rPr>
        <w:t>11日</w:t>
      </w:r>
      <w:r>
        <w:rPr>
          <w:rFonts w:hint="eastAsia" w:ascii="Times New Roman" w:hAnsi="Times New Roman" w:eastAsia="宋体"/>
          <w:color w:val="auto"/>
          <w:sz w:val="24"/>
          <w:szCs w:val="24"/>
          <w:highlight w:val="none"/>
        </w:rPr>
        <w:t>，</w:t>
      </w:r>
      <w:r>
        <w:rPr>
          <w:rFonts w:hint="eastAsia" w:ascii="Times New Roman" w:hAnsi="Times New Roman" w:eastAsia="宋体"/>
          <w:color w:val="auto"/>
          <w:sz w:val="24"/>
          <w:szCs w:val="24"/>
          <w:highlight w:val="none"/>
          <w:lang w:eastAsia="zh-CN"/>
        </w:rPr>
        <w:t>聊城市茌平区国丰木业有限公司</w:t>
      </w:r>
      <w:r>
        <w:rPr>
          <w:rFonts w:hint="eastAsia" w:ascii="Times New Roman" w:hAnsi="Times New Roman" w:eastAsia="宋体"/>
          <w:color w:val="auto"/>
          <w:sz w:val="24"/>
          <w:szCs w:val="24"/>
          <w:highlight w:val="none"/>
        </w:rPr>
        <w:t>委托</w:t>
      </w:r>
      <w:r>
        <w:rPr>
          <w:rFonts w:hint="eastAsia" w:ascii="Times New Roman" w:hAnsi="Times New Roman" w:eastAsia="宋体"/>
          <w:color w:val="auto"/>
          <w:sz w:val="24"/>
          <w:szCs w:val="24"/>
          <w:highlight w:val="none"/>
          <w:lang w:eastAsia="zh-CN"/>
        </w:rPr>
        <w:t>山东玖玺环保科技有限公司</w:t>
      </w:r>
      <w:r>
        <w:rPr>
          <w:rFonts w:hint="eastAsia" w:ascii="Times New Roman" w:hAnsi="Times New Roman" w:eastAsia="宋体"/>
          <w:color w:val="auto"/>
          <w:sz w:val="24"/>
          <w:szCs w:val="24"/>
          <w:highlight w:val="none"/>
        </w:rPr>
        <w:t>对</w:t>
      </w:r>
      <w:r>
        <w:rPr>
          <w:rFonts w:hint="eastAsia" w:ascii="Times New Roman" w:hAnsi="Times New Roman" w:eastAsia="宋体"/>
          <w:color w:val="auto"/>
          <w:sz w:val="24"/>
          <w:szCs w:val="24"/>
          <w:highlight w:val="none"/>
          <w:lang w:eastAsia="zh-CN"/>
        </w:rPr>
        <w:t>年产200万平方米饰面人造板项目</w:t>
      </w:r>
      <w:r>
        <w:rPr>
          <w:rFonts w:hint="eastAsia" w:ascii="Times New Roman" w:hAnsi="Times New Roman" w:eastAsia="宋体"/>
          <w:color w:val="auto"/>
          <w:sz w:val="24"/>
          <w:szCs w:val="24"/>
          <w:highlight w:val="none"/>
        </w:rPr>
        <w:t>进行自主验收并验收通过。</w:t>
      </w:r>
    </w:p>
    <w:p w14:paraId="4091CD8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验收结论为：聊城市茌平区国丰木业有限公司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w:t>
      </w:r>
      <w:r>
        <w:rPr>
          <w:rFonts w:hint="eastAsia" w:ascii="Times New Roman" w:hAnsi="Times New Roman" w:cs="Times New Roman" w:eastAsiaTheme="minorEastAsia"/>
          <w:sz w:val="24"/>
          <w:szCs w:val="24"/>
          <w:highlight w:val="none"/>
          <w:lang w:val="en-US" w:eastAsia="zh-CN"/>
        </w:rPr>
        <w:t>，于2024年8月11日</w:t>
      </w:r>
      <w:r>
        <w:rPr>
          <w:rFonts w:hint="eastAsia" w:ascii="Times New Roman" w:hAnsi="Times New Roman" w:cs="Times New Roman" w:eastAsiaTheme="minorEastAsia"/>
          <w:sz w:val="24"/>
          <w:szCs w:val="24"/>
          <w:lang w:val="en-US" w:eastAsia="zh-CN"/>
        </w:rPr>
        <w:t>验收工作组原则上同意该项目环保设施通过环保验收。</w:t>
      </w:r>
    </w:p>
    <w:p w14:paraId="003C7925">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1.4 公众反馈意见及处理情况 </w:t>
      </w:r>
    </w:p>
    <w:p w14:paraId="2D40CC8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建设项目设计、施工和验收期间未收到过公众反馈意见或投诉、反馈或投诉的内容。</w:t>
      </w:r>
    </w:p>
    <w:p w14:paraId="014EB9B3">
      <w:pPr>
        <w:keepNext w:val="0"/>
        <w:keepLines w:val="0"/>
        <w:pageBreakBefore w:val="0"/>
        <w:kinsoku/>
        <w:wordWrap/>
        <w:overflowPunct/>
        <w:topLinePunct w:val="0"/>
        <w:bidi w:val="0"/>
        <w:spacing w:line="560" w:lineRule="exact"/>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其他环境保护措施的实施情况</w:t>
      </w:r>
      <w:r>
        <w:rPr>
          <w:rFonts w:hint="eastAsia" w:ascii="Times New Roman" w:hAnsi="Times New Roman" w:cs="Times New Roman" w:eastAsiaTheme="minorEastAsia"/>
          <w:b/>
          <w:sz w:val="28"/>
          <w:szCs w:val="28"/>
          <w:lang w:val="en-US" w:eastAsia="zh-CN"/>
        </w:rPr>
        <w:t xml:space="preserve"> </w:t>
      </w:r>
    </w:p>
    <w:p w14:paraId="786013C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环境影响报告书（表）及其审批部门审批决定中提出的，除环境保护设施外的其他环境保护措施，主要包括制度措施和配套措施等，现将需要说明的措施内容和要求梳理如下：</w:t>
      </w:r>
    </w:p>
    <w:p w14:paraId="740D5DD3">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2.1</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制度措施落实情况</w:t>
      </w:r>
      <w:r>
        <w:rPr>
          <w:rFonts w:hint="eastAsia" w:ascii="Times New Roman" w:hAnsi="Times New Roman" w:cs="Times New Roman" w:eastAsiaTheme="minorEastAsia"/>
          <w:b/>
          <w:sz w:val="28"/>
          <w:szCs w:val="28"/>
          <w:lang w:val="en-US" w:eastAsia="zh-CN"/>
        </w:rPr>
        <w:t xml:space="preserve"> </w:t>
      </w:r>
    </w:p>
    <w:p w14:paraId="4C04199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（1）环保组织机构及规章制度</w:t>
      </w:r>
    </w:p>
    <w:p w14:paraId="3BAED48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本公司己建立环保组织机构及规章制度。本公司成立了环境保护工作组</w:t>
      </w:r>
      <w:r>
        <w:rPr>
          <w:rFonts w:hint="eastAsia" w:ascii="Times New Roman" w:hAnsi="Times New Roman" w:cs="Times New Roman" w:eastAsiaTheme="minorEastAsia"/>
          <w:sz w:val="24"/>
          <w:szCs w:val="24"/>
          <w:lang w:val="en-US" w:eastAsia="zh-CN"/>
        </w:rPr>
        <w:t>：</w:t>
      </w:r>
    </w:p>
    <w:p w14:paraId="51DD8F2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负责企业环保全面工作，是企业环保的第一责任人。</w:t>
      </w:r>
    </w:p>
    <w:p w14:paraId="6F75401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副组长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工作的日常监督管理，负责环保相关信息搜索、培训、宣传及执行；保卫科负责厂区环境安全卫生的日常维护；负责车间生产环境卫生的控制，负责车间用电的控制；负责相关环保设备设施的维护及日常运转。负责固废的外运和处理及必要的环保设备的购置。</w:t>
      </w:r>
    </w:p>
    <w:p w14:paraId="4F38691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本公司针对各项环保设施制订了运行维护管理制度、设施操作规程。</w:t>
      </w:r>
    </w:p>
    <w:p w14:paraId="497DC68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（2）环境风险防范措施</w:t>
      </w:r>
    </w:p>
    <w:p w14:paraId="63A12DB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本项目风险防范措施主要为火灾的预防和扑救措施，具体防范措施如下：</w:t>
      </w:r>
    </w:p>
    <w:p w14:paraId="7B8085E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①成立专门的责任机构，保证事故发生时组织相关力量及时控制事故的危害，在第一时间，有序有效的控制事故污染，把事故危害减小到最少；</w:t>
      </w:r>
    </w:p>
    <w:p w14:paraId="61A94FF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②车间及液化天然气暂存区域严禁烟火；并配备灭火器、室内消防栓等应急救援器材，对消防措施定期检查，并定期组织演练；</w:t>
      </w:r>
    </w:p>
    <w:p w14:paraId="032FAEA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③按有关规定在厂房和建筑物内设置专门的原料暂存区。严格遵守风险防范工作制度，加强防火管理，加强宣传教育。</w:t>
      </w:r>
    </w:p>
    <w:p w14:paraId="59FD7D4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④做好生产车间内原料分类存放，合理设置消防灭火装置。</w:t>
      </w:r>
    </w:p>
    <w:p w14:paraId="015810F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⑤健全各项制度，强化安全管理意识，加强用电设备及线路的检修和管理。</w:t>
      </w:r>
    </w:p>
    <w:p w14:paraId="4E042CA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⑥厂区备好消防物资，厂区一旦发生火灾应及时在在厂区进行消除，在厂区东侧增加备用消防器材，降低本项目发生火灾时对东侧信力达公寓的影响，厂区生产车间外东侧禁止堆放易燃物质及露天堆放原辅材料。</w:t>
      </w:r>
    </w:p>
    <w:p w14:paraId="4FA32BA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（3）环境监测计划</w:t>
      </w:r>
    </w:p>
    <w:p w14:paraId="6FB9D9A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根据环境影响报告书（表）及其审批部门审批决定要求以及《排污单位自行监测技术指南 总则》（</w:t>
      </w:r>
      <w:r>
        <w:rPr>
          <w:rFonts w:hint="default" w:ascii="Times New Roman" w:hAnsi="Times New Roman" w:cs="Times New Roman" w:eastAsiaTheme="minorEastAsia"/>
          <w:sz w:val="24"/>
          <w:szCs w:val="24"/>
          <w:lang w:val="en-US" w:eastAsia="zh-CN"/>
        </w:rPr>
        <w:t>HJ 819-2017</w:t>
      </w:r>
      <w:r>
        <w:rPr>
          <w:rFonts w:hint="eastAsia" w:ascii="Times New Roman" w:hAnsi="Times New Roman" w:cs="Times New Roman" w:eastAsiaTheme="minorEastAsia"/>
          <w:sz w:val="24"/>
          <w:szCs w:val="24"/>
          <w:lang w:val="en-US" w:eastAsia="zh-CN"/>
        </w:rPr>
        <w:t xml:space="preserve">）表 </w:t>
      </w:r>
      <w:r>
        <w:rPr>
          <w:rFonts w:hint="default" w:ascii="Times New Roman" w:hAnsi="Times New Roman" w:cs="Times New Roman" w:eastAsiaTheme="minorEastAsia"/>
          <w:sz w:val="24"/>
          <w:szCs w:val="24"/>
          <w:lang w:val="en-US" w:eastAsia="zh-CN"/>
        </w:rPr>
        <w:t xml:space="preserve">1 </w:t>
      </w:r>
      <w:r>
        <w:rPr>
          <w:rFonts w:hint="eastAsia" w:ascii="Times New Roman" w:hAnsi="Times New Roman" w:cs="Times New Roman" w:eastAsiaTheme="minorEastAsia"/>
          <w:sz w:val="24"/>
          <w:szCs w:val="24"/>
          <w:lang w:val="en-US" w:eastAsia="zh-CN"/>
        </w:rPr>
        <w:t xml:space="preserve">非重点排污单位、其他排放口的监测指标自行监测要求，本项目废气自行监测计划见下表： </w:t>
      </w:r>
    </w:p>
    <w:p w14:paraId="3D4B533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pPr>
      <w:r>
        <w:rPr>
          <w:rFonts w:hint="eastAsia" w:ascii="宋体" w:hAnsi="宋体" w:eastAsia="宋体" w:cs="宋体"/>
          <w:b/>
          <w:bCs/>
          <w:color w:val="000000"/>
          <w:kern w:val="0"/>
          <w:sz w:val="24"/>
          <w:szCs w:val="24"/>
          <w:lang w:val="en-US" w:eastAsia="zh-CN" w:bidi="ar"/>
        </w:rPr>
        <w:t>项目废气自行监测计划一览表</w:t>
      </w:r>
    </w:p>
    <w:tbl>
      <w:tblPr>
        <w:tblStyle w:val="18"/>
        <w:tblW w:w="868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30"/>
        <w:gridCol w:w="1712"/>
        <w:gridCol w:w="2171"/>
        <w:gridCol w:w="2172"/>
      </w:tblGrid>
      <w:tr w14:paraId="27100B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tcBorders>
              <w:tl2br w:val="nil"/>
              <w:tr2bl w:val="nil"/>
            </w:tcBorders>
            <w:vAlign w:val="center"/>
          </w:tcPr>
          <w:p w14:paraId="080CABE8">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监测点位</w:t>
            </w:r>
          </w:p>
        </w:tc>
        <w:tc>
          <w:tcPr>
            <w:tcW w:w="1712" w:type="dxa"/>
            <w:tcBorders>
              <w:tl2br w:val="nil"/>
              <w:tr2bl w:val="nil"/>
            </w:tcBorders>
            <w:vAlign w:val="center"/>
          </w:tcPr>
          <w:p w14:paraId="4D336C44">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检测因子</w:t>
            </w:r>
          </w:p>
        </w:tc>
        <w:tc>
          <w:tcPr>
            <w:tcW w:w="2171" w:type="dxa"/>
            <w:tcBorders>
              <w:tl2br w:val="nil"/>
              <w:tr2bl w:val="nil"/>
            </w:tcBorders>
            <w:vAlign w:val="center"/>
          </w:tcPr>
          <w:p w14:paraId="63D99067">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监测频次</w:t>
            </w:r>
          </w:p>
        </w:tc>
        <w:tc>
          <w:tcPr>
            <w:tcW w:w="2172" w:type="dxa"/>
            <w:tcBorders>
              <w:tl2br w:val="nil"/>
              <w:tr2bl w:val="nil"/>
            </w:tcBorders>
            <w:vAlign w:val="center"/>
          </w:tcPr>
          <w:p w14:paraId="4B3F832A">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备注</w:t>
            </w:r>
          </w:p>
        </w:tc>
      </w:tr>
      <w:tr w14:paraId="312C98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vMerge w:val="restart"/>
            <w:tcBorders>
              <w:tl2br w:val="nil"/>
              <w:tr2bl w:val="nil"/>
            </w:tcBorders>
            <w:vAlign w:val="center"/>
          </w:tcPr>
          <w:p w14:paraId="578A26A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DA001</w:t>
            </w:r>
            <w:bookmarkStart w:id="0" w:name="_GoBack"/>
            <w:bookmarkEnd w:id="0"/>
          </w:p>
        </w:tc>
        <w:tc>
          <w:tcPr>
            <w:tcW w:w="1712" w:type="dxa"/>
            <w:tcBorders>
              <w:tl2br w:val="nil"/>
              <w:tr2bl w:val="nil"/>
            </w:tcBorders>
            <w:vAlign w:val="center"/>
          </w:tcPr>
          <w:p w14:paraId="227707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颗粒物</w:t>
            </w:r>
          </w:p>
        </w:tc>
        <w:tc>
          <w:tcPr>
            <w:tcW w:w="2171" w:type="dxa"/>
            <w:vMerge w:val="restart"/>
            <w:tcBorders>
              <w:tl2br w:val="nil"/>
              <w:tr2bl w:val="nil"/>
            </w:tcBorders>
            <w:vAlign w:val="center"/>
          </w:tcPr>
          <w:p w14:paraId="5BAD22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0000FF"/>
                <w:sz w:val="24"/>
                <w:szCs w:val="24"/>
                <w:vertAlign w:val="baseline"/>
                <w:lang w:val="en-US" w:eastAsia="zh-CN"/>
              </w:rPr>
            </w:pPr>
            <w:r>
              <w:rPr>
                <w:rFonts w:hint="eastAsia" w:ascii="Times New Roman" w:hAnsi="Times New Roman" w:cs="Times New Roman" w:eastAsiaTheme="minorEastAsia"/>
                <w:color w:val="0000FF"/>
                <w:sz w:val="24"/>
                <w:szCs w:val="24"/>
                <w:vertAlign w:val="baseline"/>
                <w:lang w:val="en-US" w:eastAsia="zh-CN"/>
              </w:rPr>
              <w:t>1</w:t>
            </w:r>
            <w:r>
              <w:rPr>
                <w:rFonts w:hint="default" w:ascii="Times New Roman" w:hAnsi="Times New Roman" w:cs="Times New Roman" w:eastAsiaTheme="minorEastAsia"/>
                <w:color w:val="0000FF"/>
                <w:sz w:val="24"/>
                <w:szCs w:val="24"/>
                <w:vertAlign w:val="baseline"/>
                <w:lang w:val="en-US" w:eastAsia="zh-CN"/>
              </w:rPr>
              <w:t>次/</w:t>
            </w:r>
            <w:r>
              <w:rPr>
                <w:rFonts w:hint="eastAsia" w:ascii="Times New Roman" w:hAnsi="Times New Roman" w:cs="Times New Roman" w:eastAsiaTheme="minorEastAsia"/>
                <w:color w:val="0000FF"/>
                <w:sz w:val="24"/>
                <w:szCs w:val="24"/>
                <w:vertAlign w:val="baseline"/>
                <w:lang w:val="en-US" w:eastAsia="zh-CN"/>
              </w:rPr>
              <w:t>半</w:t>
            </w:r>
            <w:r>
              <w:rPr>
                <w:rFonts w:hint="default" w:ascii="Times New Roman" w:hAnsi="Times New Roman" w:cs="Times New Roman" w:eastAsiaTheme="minorEastAsia"/>
                <w:color w:val="0000FF"/>
                <w:sz w:val="24"/>
                <w:szCs w:val="24"/>
                <w:vertAlign w:val="baseline"/>
                <w:lang w:val="en-US" w:eastAsia="zh-CN"/>
              </w:rPr>
              <w:t>年</w:t>
            </w:r>
          </w:p>
        </w:tc>
        <w:tc>
          <w:tcPr>
            <w:tcW w:w="2172" w:type="dxa"/>
            <w:vMerge w:val="restart"/>
            <w:tcBorders>
              <w:tl2br w:val="nil"/>
              <w:tr2bl w:val="nil"/>
            </w:tcBorders>
            <w:vAlign w:val="center"/>
          </w:tcPr>
          <w:p w14:paraId="7CD941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p w14:paraId="0C155B5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p>
        </w:tc>
      </w:tr>
      <w:tr w14:paraId="0D5582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vMerge w:val="continue"/>
            <w:tcBorders>
              <w:tl2br w:val="nil"/>
              <w:tr2bl w:val="nil"/>
            </w:tcBorders>
            <w:vAlign w:val="center"/>
          </w:tcPr>
          <w:p w14:paraId="20A2088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p>
        </w:tc>
        <w:tc>
          <w:tcPr>
            <w:tcW w:w="1712" w:type="dxa"/>
            <w:tcBorders>
              <w:tl2br w:val="nil"/>
              <w:tr2bl w:val="nil"/>
            </w:tcBorders>
            <w:vAlign w:val="center"/>
          </w:tcPr>
          <w:p w14:paraId="70AAE8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二氧化硫</w:t>
            </w:r>
          </w:p>
        </w:tc>
        <w:tc>
          <w:tcPr>
            <w:tcW w:w="2171" w:type="dxa"/>
            <w:vMerge w:val="continue"/>
            <w:tcBorders>
              <w:tl2br w:val="nil"/>
              <w:tr2bl w:val="nil"/>
            </w:tcBorders>
            <w:vAlign w:val="center"/>
          </w:tcPr>
          <w:p w14:paraId="031A91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0000FF"/>
                <w:sz w:val="24"/>
                <w:szCs w:val="24"/>
                <w:vertAlign w:val="baseline"/>
                <w:lang w:val="en-US" w:eastAsia="zh-CN"/>
              </w:rPr>
            </w:pPr>
          </w:p>
        </w:tc>
        <w:tc>
          <w:tcPr>
            <w:tcW w:w="2172" w:type="dxa"/>
            <w:vMerge w:val="continue"/>
            <w:tcBorders>
              <w:tl2br w:val="nil"/>
              <w:tr2bl w:val="nil"/>
            </w:tcBorders>
            <w:vAlign w:val="center"/>
          </w:tcPr>
          <w:p w14:paraId="3E1CCC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p>
        </w:tc>
      </w:tr>
      <w:tr w14:paraId="40A695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vMerge w:val="continue"/>
            <w:tcBorders>
              <w:tl2br w:val="nil"/>
              <w:tr2bl w:val="nil"/>
            </w:tcBorders>
            <w:vAlign w:val="center"/>
          </w:tcPr>
          <w:p w14:paraId="0B8D7C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p>
        </w:tc>
        <w:tc>
          <w:tcPr>
            <w:tcW w:w="1712" w:type="dxa"/>
            <w:tcBorders>
              <w:tl2br w:val="nil"/>
              <w:tr2bl w:val="nil"/>
            </w:tcBorders>
            <w:vAlign w:val="center"/>
          </w:tcPr>
          <w:p w14:paraId="51800C4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氮氧化物</w:t>
            </w:r>
          </w:p>
        </w:tc>
        <w:tc>
          <w:tcPr>
            <w:tcW w:w="2171" w:type="dxa"/>
            <w:vMerge w:val="continue"/>
            <w:tcBorders>
              <w:tl2br w:val="nil"/>
              <w:tr2bl w:val="nil"/>
            </w:tcBorders>
            <w:vAlign w:val="center"/>
          </w:tcPr>
          <w:p w14:paraId="14D4ED6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color w:val="0000FF"/>
                <w:sz w:val="24"/>
                <w:szCs w:val="24"/>
                <w:vertAlign w:val="baseline"/>
                <w:lang w:val="en-US" w:eastAsia="zh-CN"/>
              </w:rPr>
            </w:pPr>
          </w:p>
        </w:tc>
        <w:tc>
          <w:tcPr>
            <w:tcW w:w="2172" w:type="dxa"/>
            <w:vMerge w:val="continue"/>
            <w:tcBorders>
              <w:tl2br w:val="nil"/>
              <w:tr2bl w:val="nil"/>
            </w:tcBorders>
            <w:vAlign w:val="center"/>
          </w:tcPr>
          <w:p w14:paraId="74061E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p>
        </w:tc>
      </w:tr>
      <w:tr w14:paraId="335B1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vMerge w:val="restart"/>
            <w:tcBorders>
              <w:tl2br w:val="nil"/>
              <w:tr2bl w:val="nil"/>
            </w:tcBorders>
            <w:vAlign w:val="center"/>
          </w:tcPr>
          <w:p w14:paraId="5871382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DA002</w:t>
            </w:r>
          </w:p>
        </w:tc>
        <w:tc>
          <w:tcPr>
            <w:tcW w:w="1712" w:type="dxa"/>
            <w:tcBorders>
              <w:tl2br w:val="nil"/>
              <w:tr2bl w:val="nil"/>
            </w:tcBorders>
            <w:vAlign w:val="center"/>
          </w:tcPr>
          <w:p w14:paraId="7B1B45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甲醛</w:t>
            </w:r>
          </w:p>
        </w:tc>
        <w:tc>
          <w:tcPr>
            <w:tcW w:w="2171" w:type="dxa"/>
            <w:vMerge w:val="restart"/>
            <w:tcBorders>
              <w:tl2br w:val="nil"/>
              <w:tr2bl w:val="nil"/>
            </w:tcBorders>
            <w:vAlign w:val="center"/>
          </w:tcPr>
          <w:p w14:paraId="58EBA1A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color w:val="0000FF"/>
                <w:sz w:val="24"/>
                <w:szCs w:val="24"/>
                <w:vertAlign w:val="baseline"/>
                <w:lang w:val="en-US" w:eastAsia="zh-CN"/>
              </w:rPr>
            </w:pPr>
            <w:r>
              <w:rPr>
                <w:rFonts w:hint="default" w:ascii="Times New Roman" w:hAnsi="Times New Roman" w:cs="Times New Roman" w:eastAsiaTheme="minorEastAsia"/>
                <w:color w:val="0000FF"/>
                <w:sz w:val="24"/>
                <w:szCs w:val="24"/>
                <w:vertAlign w:val="baseline"/>
                <w:lang w:val="en-US" w:eastAsia="zh-CN"/>
              </w:rPr>
              <w:t>1次/年</w:t>
            </w:r>
          </w:p>
        </w:tc>
        <w:tc>
          <w:tcPr>
            <w:tcW w:w="2172" w:type="dxa"/>
            <w:vMerge w:val="restart"/>
            <w:tcBorders>
              <w:tl2br w:val="nil"/>
              <w:tr2bl w:val="nil"/>
            </w:tcBorders>
            <w:vAlign w:val="center"/>
          </w:tcPr>
          <w:p w14:paraId="684879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14:paraId="16F2CB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vMerge w:val="continue"/>
            <w:tcBorders>
              <w:tl2br w:val="nil"/>
              <w:tr2bl w:val="nil"/>
            </w:tcBorders>
            <w:vAlign w:val="center"/>
          </w:tcPr>
          <w:p w14:paraId="05533D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p>
        </w:tc>
        <w:tc>
          <w:tcPr>
            <w:tcW w:w="1712" w:type="dxa"/>
            <w:tcBorders>
              <w:tl2br w:val="nil"/>
              <w:tr2bl w:val="nil"/>
            </w:tcBorders>
            <w:vAlign w:val="center"/>
          </w:tcPr>
          <w:p w14:paraId="01FB1D9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非甲烷总烃</w:t>
            </w:r>
          </w:p>
        </w:tc>
        <w:tc>
          <w:tcPr>
            <w:tcW w:w="2171" w:type="dxa"/>
            <w:vMerge w:val="continue"/>
            <w:tcBorders>
              <w:tl2br w:val="nil"/>
              <w:tr2bl w:val="nil"/>
            </w:tcBorders>
            <w:vAlign w:val="center"/>
          </w:tcPr>
          <w:p w14:paraId="1DDB5C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color w:val="0000FF"/>
                <w:sz w:val="24"/>
                <w:szCs w:val="24"/>
                <w:vertAlign w:val="baseline"/>
                <w:lang w:val="en-US" w:eastAsia="zh-CN"/>
              </w:rPr>
            </w:pPr>
          </w:p>
        </w:tc>
        <w:tc>
          <w:tcPr>
            <w:tcW w:w="2172" w:type="dxa"/>
            <w:vMerge w:val="continue"/>
            <w:tcBorders>
              <w:tl2br w:val="nil"/>
              <w:tr2bl w:val="nil"/>
            </w:tcBorders>
            <w:vAlign w:val="center"/>
          </w:tcPr>
          <w:p w14:paraId="462030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p>
        </w:tc>
      </w:tr>
      <w:tr w14:paraId="267D3C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vMerge w:val="restart"/>
            <w:tcBorders>
              <w:tl2br w:val="nil"/>
              <w:tr2bl w:val="nil"/>
            </w:tcBorders>
            <w:vAlign w:val="center"/>
          </w:tcPr>
          <w:p w14:paraId="4F3C04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eastAsia="宋体" w:cs="Times New Roman"/>
                <w:sz w:val="24"/>
                <w:lang w:val="en-US" w:eastAsia="zh-CN"/>
              </w:rPr>
            </w:pPr>
            <w:r>
              <w:rPr>
                <w:rStyle w:val="38"/>
                <w:rFonts w:hint="eastAsia" w:ascii="Times New Roman" w:hAnsi="Times New Roman" w:cs="Times New Roman"/>
                <w:sz w:val="24"/>
                <w:lang w:val="en-US" w:eastAsia="zh-CN"/>
              </w:rPr>
              <w:t>厂界</w:t>
            </w:r>
          </w:p>
        </w:tc>
        <w:tc>
          <w:tcPr>
            <w:tcW w:w="1712" w:type="dxa"/>
            <w:tcBorders>
              <w:tl2br w:val="nil"/>
              <w:tr2bl w:val="nil"/>
            </w:tcBorders>
            <w:vAlign w:val="center"/>
          </w:tcPr>
          <w:p w14:paraId="7DE25B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颗粒物</w:t>
            </w:r>
          </w:p>
        </w:tc>
        <w:tc>
          <w:tcPr>
            <w:tcW w:w="2171" w:type="dxa"/>
            <w:vMerge w:val="restart"/>
            <w:tcBorders>
              <w:tl2br w:val="nil"/>
              <w:tr2bl w:val="nil"/>
            </w:tcBorders>
            <w:vAlign w:val="center"/>
          </w:tcPr>
          <w:p w14:paraId="3CFCC3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0000FF"/>
                <w:sz w:val="24"/>
                <w:szCs w:val="24"/>
                <w:vertAlign w:val="baseline"/>
                <w:lang w:val="en-US" w:eastAsia="zh-CN"/>
              </w:rPr>
            </w:pPr>
            <w:r>
              <w:rPr>
                <w:rFonts w:hint="default" w:ascii="Times New Roman" w:hAnsi="Times New Roman" w:cs="Times New Roman" w:eastAsiaTheme="minorEastAsia"/>
                <w:color w:val="0000FF"/>
                <w:sz w:val="24"/>
                <w:szCs w:val="24"/>
                <w:vertAlign w:val="baseline"/>
                <w:lang w:val="en-US" w:eastAsia="zh-CN"/>
              </w:rPr>
              <w:t>1次/年</w:t>
            </w:r>
          </w:p>
        </w:tc>
        <w:tc>
          <w:tcPr>
            <w:tcW w:w="2172" w:type="dxa"/>
            <w:vMerge w:val="restart"/>
            <w:tcBorders>
              <w:tl2br w:val="nil"/>
              <w:tr2bl w:val="nil"/>
            </w:tcBorders>
            <w:vAlign w:val="center"/>
          </w:tcPr>
          <w:p w14:paraId="6B373D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14:paraId="5845D4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vMerge w:val="continue"/>
            <w:tcBorders>
              <w:tl2br w:val="nil"/>
              <w:tr2bl w:val="nil"/>
            </w:tcBorders>
            <w:vAlign w:val="center"/>
          </w:tcPr>
          <w:p w14:paraId="4363D0A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cs="Times New Roman"/>
                <w:sz w:val="24"/>
                <w:lang w:val="en-US" w:eastAsia="zh-CN"/>
              </w:rPr>
            </w:pPr>
          </w:p>
        </w:tc>
        <w:tc>
          <w:tcPr>
            <w:tcW w:w="1712" w:type="dxa"/>
            <w:tcBorders>
              <w:tl2br w:val="nil"/>
              <w:tr2bl w:val="nil"/>
            </w:tcBorders>
            <w:vAlign w:val="center"/>
          </w:tcPr>
          <w:p w14:paraId="774FD12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甲醛</w:t>
            </w:r>
          </w:p>
        </w:tc>
        <w:tc>
          <w:tcPr>
            <w:tcW w:w="2171" w:type="dxa"/>
            <w:vMerge w:val="continue"/>
            <w:tcBorders>
              <w:tl2br w:val="nil"/>
              <w:tr2bl w:val="nil"/>
            </w:tcBorders>
            <w:vAlign w:val="center"/>
          </w:tcPr>
          <w:p w14:paraId="6EA8EF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p>
        </w:tc>
        <w:tc>
          <w:tcPr>
            <w:tcW w:w="2172" w:type="dxa"/>
            <w:vMerge w:val="continue"/>
            <w:tcBorders>
              <w:tl2br w:val="nil"/>
              <w:tr2bl w:val="nil"/>
            </w:tcBorders>
            <w:vAlign w:val="center"/>
          </w:tcPr>
          <w:p w14:paraId="358845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p>
        </w:tc>
      </w:tr>
      <w:tr w14:paraId="219C6F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vMerge w:val="continue"/>
            <w:tcBorders>
              <w:tl2br w:val="nil"/>
              <w:tr2bl w:val="nil"/>
            </w:tcBorders>
            <w:vAlign w:val="center"/>
          </w:tcPr>
          <w:p w14:paraId="78A6A44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eastAsia="宋体" w:cs="Times New Roman"/>
                <w:sz w:val="24"/>
                <w:lang w:val="en-US" w:eastAsia="zh-CN"/>
              </w:rPr>
            </w:pPr>
          </w:p>
        </w:tc>
        <w:tc>
          <w:tcPr>
            <w:tcW w:w="1712" w:type="dxa"/>
            <w:tcBorders>
              <w:tl2br w:val="nil"/>
              <w:tr2bl w:val="nil"/>
            </w:tcBorders>
            <w:vAlign w:val="center"/>
          </w:tcPr>
          <w:p w14:paraId="443101F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default" w:ascii="Times New Roman" w:hAnsi="Times New Roman" w:eastAsia="宋体" w:cs="Times New Roman"/>
                <w:sz w:val="24"/>
                <w:lang w:val="en-US" w:eastAsia="zh-CN"/>
              </w:rPr>
            </w:pPr>
            <w:r>
              <w:rPr>
                <w:rStyle w:val="38"/>
                <w:rFonts w:hint="eastAsia" w:ascii="Times New Roman" w:hAnsi="Times New Roman" w:cs="Times New Roman"/>
                <w:sz w:val="24"/>
                <w:lang w:val="en-US" w:eastAsia="zh-CN"/>
              </w:rPr>
              <w:t>非甲烷总烃</w:t>
            </w:r>
          </w:p>
        </w:tc>
        <w:tc>
          <w:tcPr>
            <w:tcW w:w="2171" w:type="dxa"/>
            <w:vMerge w:val="continue"/>
            <w:tcBorders>
              <w:tl2br w:val="nil"/>
              <w:tr2bl w:val="nil"/>
            </w:tcBorders>
            <w:vAlign w:val="center"/>
          </w:tcPr>
          <w:p w14:paraId="26019C6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eastAsia="宋体" w:cs="Times New Roman"/>
                <w:sz w:val="24"/>
                <w:lang w:val="en-US" w:eastAsia="zh-CN"/>
              </w:rPr>
            </w:pPr>
          </w:p>
        </w:tc>
        <w:tc>
          <w:tcPr>
            <w:tcW w:w="2172" w:type="dxa"/>
            <w:vMerge w:val="continue"/>
            <w:tcBorders>
              <w:tl2br w:val="nil"/>
              <w:tr2bl w:val="nil"/>
            </w:tcBorders>
            <w:vAlign w:val="center"/>
          </w:tcPr>
          <w:p w14:paraId="0333E4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eastAsia="宋体" w:cs="Times New Roman"/>
                <w:sz w:val="24"/>
                <w:lang w:val="en-US" w:eastAsia="zh-CN"/>
              </w:rPr>
            </w:pPr>
          </w:p>
        </w:tc>
      </w:tr>
      <w:tr w14:paraId="31B9E2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vMerge w:val="continue"/>
            <w:tcBorders>
              <w:tl2br w:val="nil"/>
              <w:tr2bl w:val="nil"/>
            </w:tcBorders>
            <w:vAlign w:val="center"/>
          </w:tcPr>
          <w:p w14:paraId="24E4872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eastAsia="宋体" w:cs="Times New Roman"/>
                <w:sz w:val="24"/>
                <w:lang w:val="en-US" w:eastAsia="zh-CN"/>
              </w:rPr>
            </w:pPr>
          </w:p>
        </w:tc>
        <w:tc>
          <w:tcPr>
            <w:tcW w:w="1712" w:type="dxa"/>
            <w:tcBorders>
              <w:tl2br w:val="nil"/>
              <w:tr2bl w:val="nil"/>
            </w:tcBorders>
            <w:vAlign w:val="center"/>
          </w:tcPr>
          <w:p w14:paraId="103754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cs="Times New Roman"/>
                <w:sz w:val="24"/>
                <w:lang w:val="en-US" w:eastAsia="zh-CN"/>
              </w:rPr>
            </w:pPr>
            <w:r>
              <w:rPr>
                <w:rStyle w:val="38"/>
                <w:rFonts w:hint="eastAsia" w:ascii="Times New Roman" w:hAnsi="Times New Roman" w:cs="Times New Roman"/>
                <w:sz w:val="24"/>
                <w:lang w:val="en-US" w:eastAsia="zh-CN"/>
              </w:rPr>
              <w:t>噪声</w:t>
            </w:r>
          </w:p>
          <w:p w14:paraId="2EC5CB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default" w:ascii="Times New Roman" w:hAnsi="Times New Roman" w:eastAsia="宋体" w:cs="Times New Roman"/>
                <w:sz w:val="24"/>
                <w:lang w:val="en-US" w:eastAsia="zh-CN"/>
              </w:rPr>
            </w:pPr>
            <w:r>
              <w:rPr>
                <w:rStyle w:val="38"/>
                <w:rFonts w:hint="default" w:ascii="Times New Roman" w:hAnsi="Times New Roman" w:eastAsia="宋体" w:cs="Times New Roman"/>
                <w:sz w:val="24"/>
                <w:lang w:val="en-US" w:eastAsia="zh-CN"/>
              </w:rPr>
              <w:t>LeqdB</w:t>
            </w:r>
            <w:r>
              <w:rPr>
                <w:rStyle w:val="38"/>
                <w:rFonts w:hint="eastAsia" w:ascii="Times New Roman" w:hAnsi="Times New Roman" w:eastAsia="宋体" w:cs="Times New Roman"/>
                <w:sz w:val="24"/>
                <w:lang w:val="en-US" w:eastAsia="zh-CN"/>
              </w:rPr>
              <w:t>（</w:t>
            </w:r>
            <w:r>
              <w:rPr>
                <w:rStyle w:val="38"/>
                <w:rFonts w:hint="default" w:ascii="Times New Roman" w:hAnsi="Times New Roman" w:eastAsia="宋体" w:cs="Times New Roman"/>
                <w:sz w:val="24"/>
                <w:lang w:val="en-US" w:eastAsia="zh-CN"/>
              </w:rPr>
              <w:t>A</w:t>
            </w:r>
            <w:r>
              <w:rPr>
                <w:rStyle w:val="38"/>
                <w:rFonts w:hint="eastAsia" w:ascii="Times New Roman" w:hAnsi="Times New Roman" w:eastAsia="宋体" w:cs="Times New Roman"/>
                <w:sz w:val="24"/>
                <w:lang w:val="en-US" w:eastAsia="zh-CN"/>
              </w:rPr>
              <w:t>）</w:t>
            </w:r>
          </w:p>
        </w:tc>
        <w:tc>
          <w:tcPr>
            <w:tcW w:w="2171" w:type="dxa"/>
            <w:tcBorders>
              <w:tl2br w:val="nil"/>
              <w:tr2bl w:val="nil"/>
            </w:tcBorders>
            <w:shd w:val="clear" w:color="auto" w:fill="auto"/>
            <w:vAlign w:val="center"/>
          </w:tcPr>
          <w:p w14:paraId="0A9B5B94">
            <w:pPr>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eastAsiaTheme="minorEastAsia"/>
                <w:sz w:val="24"/>
                <w:szCs w:val="24"/>
                <w:vertAlign w:val="baseline"/>
                <w:lang w:val="en-US" w:eastAsia="zh-CN"/>
              </w:rPr>
              <w:t>每季度昼、夜间监测一次</w:t>
            </w:r>
          </w:p>
        </w:tc>
        <w:tc>
          <w:tcPr>
            <w:tcW w:w="2172" w:type="dxa"/>
            <w:tcBorders>
              <w:tl2br w:val="nil"/>
              <w:tr2bl w:val="nil"/>
            </w:tcBorders>
            <w:vAlign w:val="center"/>
          </w:tcPr>
          <w:p w14:paraId="0EA0EE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bl>
    <w:p w14:paraId="57E7077F">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配套措施落实情况</w:t>
      </w:r>
      <w:r>
        <w:rPr>
          <w:rFonts w:hint="eastAsia" w:ascii="Times New Roman" w:hAnsi="Times New Roman" w:cs="Times New Roman" w:eastAsiaTheme="minorEastAsia"/>
          <w:b/>
          <w:sz w:val="28"/>
          <w:szCs w:val="28"/>
          <w:lang w:val="en-US" w:eastAsia="zh-CN"/>
        </w:rPr>
        <w:t xml:space="preserve"> </w:t>
      </w:r>
    </w:p>
    <w:p w14:paraId="1979279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（1）区域削减及淘汰落后产能</w:t>
      </w:r>
    </w:p>
    <w:p w14:paraId="2AAEC1F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本公司不涉及区域削减污染物总量措施，所有生产设备中没有需淘汰的落后产能设备。</w:t>
      </w:r>
    </w:p>
    <w:p w14:paraId="5AA4C28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（2）防护距离控制及居民搬迁</w:t>
      </w:r>
    </w:p>
    <w:p w14:paraId="53F4F4A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本项目卫生防护距离内无环境敏感点。</w:t>
      </w:r>
    </w:p>
    <w:p w14:paraId="1D98F9F7">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2.3 </w:t>
      </w:r>
      <w:r>
        <w:rPr>
          <w:rFonts w:hint="default" w:ascii="Times New Roman" w:hAnsi="Times New Roman" w:cs="Times New Roman" w:eastAsiaTheme="minorEastAsia"/>
          <w:b/>
          <w:sz w:val="28"/>
          <w:szCs w:val="28"/>
          <w:lang w:val="en-US" w:eastAsia="zh-CN"/>
        </w:rPr>
        <w:t>其他措施落实情况</w:t>
      </w:r>
      <w:r>
        <w:rPr>
          <w:rFonts w:hint="eastAsia" w:ascii="Times New Roman" w:hAnsi="Times New Roman" w:cs="Times New Roman" w:eastAsiaTheme="minorEastAsia"/>
          <w:b/>
          <w:sz w:val="28"/>
          <w:szCs w:val="28"/>
          <w:lang w:val="en-US" w:eastAsia="zh-CN"/>
        </w:rPr>
        <w:t xml:space="preserve"> </w:t>
      </w:r>
    </w:p>
    <w:p w14:paraId="10B0026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本项目不涉及林地、珍稀动物保护、区域环境整治、相关外围工程建设情况等。</w:t>
      </w:r>
    </w:p>
    <w:p w14:paraId="1E546A91">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3</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整改工作情况</w:t>
      </w:r>
      <w:r>
        <w:rPr>
          <w:rFonts w:hint="eastAsia" w:ascii="Times New Roman" w:hAnsi="Times New Roman" w:cs="Times New Roman" w:eastAsiaTheme="minorEastAsia"/>
          <w:b/>
          <w:sz w:val="28"/>
          <w:szCs w:val="28"/>
          <w:lang w:val="en-US" w:eastAsia="zh-CN"/>
        </w:rPr>
        <w:t xml:space="preserve"> </w:t>
      </w:r>
    </w:p>
    <w:p w14:paraId="131D59A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项目</w:t>
      </w:r>
      <w:r>
        <w:rPr>
          <w:rFonts w:hint="default" w:ascii="Times New Roman" w:hAnsi="Times New Roman" w:cs="Times New Roman" w:eastAsiaTheme="minorEastAsia"/>
          <w:sz w:val="24"/>
          <w:szCs w:val="24"/>
          <w:lang w:val="en-US" w:eastAsia="zh-CN"/>
        </w:rPr>
        <w:t>验收现场检查会</w:t>
      </w:r>
      <w:r>
        <w:rPr>
          <w:rFonts w:hint="eastAsia" w:ascii="Times New Roman" w:hAnsi="Times New Roman" w:cs="Times New Roman" w:eastAsiaTheme="minorEastAsia"/>
          <w:sz w:val="24"/>
          <w:szCs w:val="24"/>
          <w:lang w:val="en-US" w:eastAsia="zh-CN"/>
        </w:rPr>
        <w:t>专家提出的整改意见及整改措施如下：</w:t>
      </w:r>
    </w:p>
    <w:p w14:paraId="3F15343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（1）车间地面上撒漏的粉状物料应及时清理，保持车间地面清洁，防止扬尘。</w:t>
      </w:r>
    </w:p>
    <w:p w14:paraId="446A860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整改/修改情况：已安排车间专门人员及时清理车间地面上撒漏的粉状物料，保持车间地面清洁，防止扬尘。</w:t>
      </w:r>
    </w:p>
    <w:p w14:paraId="5F82116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val="en-US" w:eastAsia="zh-CN"/>
        </w:rPr>
        <w:t>定期检查废气收集设施的运行情况，确保废气有效收集和处理；</w:t>
      </w:r>
    </w:p>
    <w:p w14:paraId="108142C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w:t>
      </w:r>
      <w:r>
        <w:rPr>
          <w:rFonts w:hint="default" w:ascii="Times New Roman" w:hAnsi="Times New Roman" w:cs="Times New Roman" w:eastAsiaTheme="minorEastAsia"/>
          <w:sz w:val="24"/>
          <w:szCs w:val="24"/>
          <w:u w:val="single"/>
          <w:lang w:val="en-US" w:eastAsia="zh-CN"/>
        </w:rPr>
        <w:t>定期检查废气收集设施的运行情况，确保废气有效收集和处理</w:t>
      </w:r>
      <w:r>
        <w:rPr>
          <w:rFonts w:hint="eastAsia" w:ascii="Times New Roman" w:hAnsi="Times New Roman" w:cs="Times New Roman" w:eastAsiaTheme="minorEastAsia"/>
          <w:sz w:val="24"/>
          <w:szCs w:val="24"/>
          <w:u w:val="single"/>
          <w:lang w:val="en-US" w:eastAsia="zh-CN"/>
        </w:rPr>
        <w:t>。</w:t>
      </w:r>
    </w:p>
    <w:p w14:paraId="56DB5F9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（3）</w:t>
      </w:r>
      <w:r>
        <w:rPr>
          <w:rFonts w:hint="eastAsia" w:ascii="Times New Roman" w:hAnsi="Times New Roman" w:eastAsia="宋体" w:cs="Times New Roman"/>
          <w:color w:val="auto"/>
          <w:kern w:val="2"/>
          <w:sz w:val="24"/>
          <w:szCs w:val="24"/>
          <w:lang w:val="en-US" w:eastAsia="zh-CN" w:bidi="ar-SA"/>
        </w:rPr>
        <w:t>项目运营过程中，严格执行排污许可排放标准，一般工业固废严格按照《一般工业固体废物贮存和填埋污染控制标准》（GB 18599-2020）要求执行，危险废物严格按照《危险废物贮存污染控制标准》（GB 18597-2023）要求执行。</w:t>
      </w:r>
    </w:p>
    <w:p w14:paraId="3245DAB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项目运营过程中，严格执行排污许可排放标准，一般工业固废严格按照《一般工业固体废物贮存和填埋污染控制标准》（GB 18599-2020）要求执行，危险废物严格按照《危险废物贮存污染控制标准》（GB 18597-2023）要求执行。</w:t>
      </w:r>
    </w:p>
    <w:p w14:paraId="70AD31C2">
      <w:pPr>
        <w:rPr>
          <w:rFonts w:hint="default"/>
          <w:lang w:val="en-US" w:eastAsia="zh-CN"/>
        </w:rPr>
      </w:pPr>
    </w:p>
    <w:sectPr>
      <w:footerReference r:id="rId3" w:type="default"/>
      <w:pgSz w:w="11906" w:h="16838"/>
      <w:pgMar w:top="1474" w:right="1588" w:bottom="1134"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14:paraId="496D06CD">
        <w:pPr>
          <w:pStyle w:val="11"/>
          <w:jc w:val="center"/>
        </w:pPr>
        <w:r>
          <w:fldChar w:fldCharType="begin"/>
        </w:r>
        <w:r>
          <w:instrText xml:space="preserve"> PAGE   \* MERGEFORMAT </w:instrText>
        </w:r>
        <w:r>
          <w:fldChar w:fldCharType="separate"/>
        </w:r>
        <w:r>
          <w:rPr>
            <w:lang w:val="zh-CN"/>
          </w:rPr>
          <w:t>5</w:t>
        </w:r>
        <w:r>
          <w:rPr>
            <w:lang w:val="zh-CN"/>
          </w:rPr>
          <w:fldChar w:fldCharType="end"/>
        </w:r>
      </w:p>
    </w:sdtContent>
  </w:sdt>
  <w:p w14:paraId="7F13048E">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5NzFmZWMwZDI3YzY5MTEzZGE2YjM4OTNkM2M5N2U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53F0C01"/>
    <w:rsid w:val="06D25F48"/>
    <w:rsid w:val="08981135"/>
    <w:rsid w:val="08AC6127"/>
    <w:rsid w:val="0ADB5E7A"/>
    <w:rsid w:val="0B472137"/>
    <w:rsid w:val="0C8223EB"/>
    <w:rsid w:val="0D0001DD"/>
    <w:rsid w:val="11625F1D"/>
    <w:rsid w:val="140B7F29"/>
    <w:rsid w:val="141B57BA"/>
    <w:rsid w:val="16154F53"/>
    <w:rsid w:val="16C15CF6"/>
    <w:rsid w:val="17B71A49"/>
    <w:rsid w:val="182F2017"/>
    <w:rsid w:val="199155F1"/>
    <w:rsid w:val="19A12421"/>
    <w:rsid w:val="1A2A15A2"/>
    <w:rsid w:val="1AAE2376"/>
    <w:rsid w:val="1B1851B0"/>
    <w:rsid w:val="1C0D1583"/>
    <w:rsid w:val="1F7E33E3"/>
    <w:rsid w:val="20C33720"/>
    <w:rsid w:val="20FF1092"/>
    <w:rsid w:val="218C6A2F"/>
    <w:rsid w:val="22B36145"/>
    <w:rsid w:val="24657C98"/>
    <w:rsid w:val="24C100AF"/>
    <w:rsid w:val="26F95E73"/>
    <w:rsid w:val="270B5883"/>
    <w:rsid w:val="288C09DE"/>
    <w:rsid w:val="2ABB7EB6"/>
    <w:rsid w:val="2F1728B1"/>
    <w:rsid w:val="30674F5B"/>
    <w:rsid w:val="321E3342"/>
    <w:rsid w:val="352B1605"/>
    <w:rsid w:val="35475771"/>
    <w:rsid w:val="39DE1D35"/>
    <w:rsid w:val="3BD50FCD"/>
    <w:rsid w:val="42A64878"/>
    <w:rsid w:val="446F2B9F"/>
    <w:rsid w:val="44756DC2"/>
    <w:rsid w:val="44CD1674"/>
    <w:rsid w:val="452C453B"/>
    <w:rsid w:val="478466B3"/>
    <w:rsid w:val="4D5558B4"/>
    <w:rsid w:val="4E751289"/>
    <w:rsid w:val="4EF37070"/>
    <w:rsid w:val="502328A6"/>
    <w:rsid w:val="518A07B0"/>
    <w:rsid w:val="52B018E5"/>
    <w:rsid w:val="536E48F6"/>
    <w:rsid w:val="53DD36D8"/>
    <w:rsid w:val="54E91C64"/>
    <w:rsid w:val="54EE0658"/>
    <w:rsid w:val="550429A6"/>
    <w:rsid w:val="554373C5"/>
    <w:rsid w:val="562954F0"/>
    <w:rsid w:val="5A0C3D15"/>
    <w:rsid w:val="5C084E7C"/>
    <w:rsid w:val="5DEA664B"/>
    <w:rsid w:val="5F9C768C"/>
    <w:rsid w:val="60A878DC"/>
    <w:rsid w:val="60B82B42"/>
    <w:rsid w:val="62536A85"/>
    <w:rsid w:val="63AE1EC8"/>
    <w:rsid w:val="641B4FF7"/>
    <w:rsid w:val="649460BF"/>
    <w:rsid w:val="64E04972"/>
    <w:rsid w:val="68D4001D"/>
    <w:rsid w:val="6A4662AD"/>
    <w:rsid w:val="6A7038C2"/>
    <w:rsid w:val="6AAE1741"/>
    <w:rsid w:val="6C9227DE"/>
    <w:rsid w:val="6F5F79E8"/>
    <w:rsid w:val="70904E30"/>
    <w:rsid w:val="71074B36"/>
    <w:rsid w:val="71BE777B"/>
    <w:rsid w:val="75926377"/>
    <w:rsid w:val="75CC31FA"/>
    <w:rsid w:val="7696248B"/>
    <w:rsid w:val="76A35191"/>
    <w:rsid w:val="79425628"/>
    <w:rsid w:val="7A7F09A7"/>
    <w:rsid w:val="7ACF34CF"/>
    <w:rsid w:val="7B910714"/>
    <w:rsid w:val="7C2D2E8E"/>
    <w:rsid w:val="7CC72557"/>
    <w:rsid w:val="7D422132"/>
    <w:rsid w:val="7E784B20"/>
    <w:rsid w:val="7EAB7F69"/>
    <w:rsid w:val="7ECC448D"/>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240" w:lineRule="auto"/>
      <w:outlineLvl w:val="0"/>
    </w:pPr>
    <w:rPr>
      <w:rFonts w:ascii="Times New Roman" w:hAnsi="Times New Roman" w:eastAsia="楷体"/>
      <w:b/>
      <w:bCs/>
      <w:kern w:val="44"/>
      <w:sz w:val="24"/>
      <w:szCs w:val="44"/>
    </w:rPr>
  </w:style>
  <w:style w:type="paragraph" w:styleId="3">
    <w:name w:val="heading 2"/>
    <w:basedOn w:val="1"/>
    <w:next w:val="1"/>
    <w:autoRedefine/>
    <w:qFormat/>
    <w:uiPriority w:val="0"/>
    <w:pPr>
      <w:keepNext/>
      <w:keepLines/>
      <w:widowControl w:val="0"/>
      <w:adjustRightInd/>
      <w:snapToGrid/>
      <w:spacing w:after="0" w:afterLines="0" w:line="360" w:lineRule="exact"/>
      <w:jc w:val="both"/>
      <w:outlineLvl w:val="1"/>
    </w:pPr>
    <w:rPr>
      <w:rFonts w:ascii="Times New Roman" w:hAnsi="Times New Roman" w:eastAsia="宋体" w:cs="Times New Roman"/>
      <w:bCs/>
      <w:kern w:val="2"/>
      <w:sz w:val="21"/>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33"/>
    <w:autoRedefine/>
    <w:qFormat/>
    <w:uiPriority w:val="0"/>
    <w:pPr>
      <w:jc w:val="left"/>
    </w:pPr>
    <w:rPr>
      <w:rFonts w:ascii="Times New Roman" w:hAnsi="Times New Roman"/>
      <w:szCs w:val="20"/>
    </w:rPr>
  </w:style>
  <w:style w:type="paragraph" w:styleId="5">
    <w:name w:val="Body Text"/>
    <w:basedOn w:val="1"/>
    <w:next w:val="6"/>
    <w:link w:val="31"/>
    <w:qFormat/>
    <w:uiPriority w:val="0"/>
    <w:pPr>
      <w:spacing w:after="120"/>
    </w:pPr>
    <w:rPr>
      <w:rFonts w:ascii="Times New Roman" w:hAnsi="Times New Roman"/>
      <w:szCs w:val="20"/>
    </w:rPr>
  </w:style>
  <w:style w:type="paragraph" w:styleId="6">
    <w:name w:val="Date"/>
    <w:basedOn w:val="1"/>
    <w:next w:val="1"/>
    <w:qFormat/>
    <w:uiPriority w:val="0"/>
    <w:pPr>
      <w:ind w:left="100" w:leftChars="2500"/>
    </w:pPr>
    <w:rPr>
      <w:rFonts w:ascii="Times New Roman" w:hAnsi="Times New Roman" w:eastAsia="宋体" w:cs="Times New Roman"/>
      <w:kern w:val="0"/>
      <w:sz w:val="24"/>
      <w:szCs w:val="20"/>
    </w:rPr>
  </w:style>
  <w:style w:type="paragraph" w:styleId="7">
    <w:name w:val="Body Text Indent"/>
    <w:basedOn w:val="1"/>
    <w:next w:val="8"/>
    <w:autoRedefine/>
    <w:unhideWhenUsed/>
    <w:qFormat/>
    <w:uiPriority w:val="99"/>
    <w:pPr>
      <w:ind w:left="420" w:leftChars="200"/>
    </w:pPr>
  </w:style>
  <w:style w:type="paragraph" w:customStyle="1" w:styleId="8">
    <w:name w:val="样式 正文文本缩进 + 行距: 1.5 倍行距"/>
    <w:basedOn w:val="1"/>
    <w:autoRedefine/>
    <w:qFormat/>
    <w:uiPriority w:val="0"/>
    <w:pPr>
      <w:spacing w:after="120" w:line="360" w:lineRule="auto"/>
      <w:ind w:left="90" w:leftChars="32" w:firstLine="560" w:firstLineChars="200"/>
    </w:pPr>
    <w:rPr>
      <w:rFonts w:cs="宋体"/>
    </w:rPr>
  </w:style>
  <w:style w:type="paragraph" w:styleId="9">
    <w:name w:val="Plain Text"/>
    <w:basedOn w:val="1"/>
    <w:next w:val="7"/>
    <w:autoRedefine/>
    <w:qFormat/>
    <w:uiPriority w:val="0"/>
    <w:rPr>
      <w:rFonts w:ascii="宋体" w:hAnsi="Courier New" w:cs="Courier New"/>
      <w:szCs w:val="21"/>
    </w:rPr>
  </w:style>
  <w:style w:type="paragraph" w:styleId="10">
    <w:name w:val="Balloon Text"/>
    <w:basedOn w:val="1"/>
    <w:link w:val="27"/>
    <w:autoRedefine/>
    <w:semiHidden/>
    <w:unhideWhenUsed/>
    <w:qFormat/>
    <w:uiPriority w:val="99"/>
    <w:rPr>
      <w:sz w:val="18"/>
      <w:szCs w:val="18"/>
    </w:rPr>
  </w:style>
  <w:style w:type="paragraph" w:styleId="11">
    <w:name w:val="footer"/>
    <w:basedOn w:val="1"/>
    <w:link w:val="26"/>
    <w:autoRedefine/>
    <w:unhideWhenUsed/>
    <w:qFormat/>
    <w:uiPriority w:val="99"/>
    <w:pPr>
      <w:tabs>
        <w:tab w:val="center" w:pos="4153"/>
        <w:tab w:val="right" w:pos="8306"/>
      </w:tabs>
      <w:snapToGrid w:val="0"/>
      <w:jc w:val="left"/>
    </w:pPr>
    <w:rPr>
      <w:sz w:val="18"/>
      <w:szCs w:val="18"/>
    </w:rPr>
  </w:style>
  <w:style w:type="paragraph" w:styleId="12">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spacing w:after="120"/>
      <w:ind w:left="420" w:leftChars="200"/>
    </w:pPr>
    <w:rPr>
      <w:sz w:val="16"/>
      <w:szCs w:val="16"/>
    </w:rPr>
  </w:style>
  <w:style w:type="paragraph" w:styleId="14">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Body Text First Indent"/>
    <w:basedOn w:val="5"/>
    <w:next w:val="1"/>
    <w:qFormat/>
    <w:uiPriority w:val="0"/>
    <w:pPr>
      <w:tabs>
        <w:tab w:val="left" w:pos="0"/>
      </w:tabs>
      <w:spacing w:line="240" w:lineRule="auto"/>
      <w:ind w:firstLine="420" w:firstLineChars="100"/>
    </w:pPr>
    <w:rPr>
      <w:sz w:val="21"/>
    </w:rPr>
  </w:style>
  <w:style w:type="paragraph" w:styleId="16">
    <w:name w:val="Body Text First Indent 2"/>
    <w:basedOn w:val="7"/>
    <w:next w:val="1"/>
    <w:autoRedefine/>
    <w:qFormat/>
    <w:uiPriority w:val="0"/>
    <w:pPr>
      <w:ind w:firstLine="42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autoRedefine/>
    <w:qFormat/>
    <w:uiPriority w:val="0"/>
    <w:rPr>
      <w:sz w:val="21"/>
      <w:szCs w:val="21"/>
    </w:rPr>
  </w:style>
  <w:style w:type="paragraph" w:customStyle="1" w:styleId="21">
    <w:name w:val="Default"/>
    <w:basedOn w:val="22"/>
    <w:next w:val="2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
    <w:name w:val="纯文本1"/>
    <w:basedOn w:val="1"/>
    <w:next w:val="1"/>
    <w:autoRedefine/>
    <w:qFormat/>
    <w:uiPriority w:val="0"/>
    <w:rPr>
      <w:rFonts w:ascii="宋体" w:hAnsi="Courier New"/>
    </w:rPr>
  </w:style>
  <w:style w:type="paragraph" w:customStyle="1" w:styleId="23">
    <w:name w:val="报告书正文"/>
    <w:basedOn w:val="15"/>
    <w:next w:val="1"/>
    <w:autoRedefine/>
    <w:qFormat/>
    <w:uiPriority w:val="99"/>
    <w:pPr>
      <w:adjustRightInd w:val="0"/>
      <w:spacing w:line="500" w:lineRule="exact"/>
      <w:ind w:firstLine="200" w:firstLineChars="200"/>
      <w:textAlignment w:val="baseline"/>
    </w:pPr>
    <w:rPr>
      <w:bCs/>
      <w:sz w:val="24"/>
      <w:szCs w:val="20"/>
    </w:rPr>
  </w:style>
  <w:style w:type="paragraph" w:customStyle="1" w:styleId="24">
    <w:name w:val="li_正文"/>
    <w:basedOn w:val="1"/>
    <w:autoRedefine/>
    <w:qFormat/>
    <w:uiPriority w:val="0"/>
    <w:pPr>
      <w:ind w:firstLine="200" w:firstLineChars="200"/>
      <w:jc w:val="left"/>
    </w:pPr>
    <w:rPr>
      <w:sz w:val="28"/>
      <w:szCs w:val="28"/>
    </w:rPr>
  </w:style>
  <w:style w:type="character" w:customStyle="1" w:styleId="25">
    <w:name w:val="页眉 Char"/>
    <w:basedOn w:val="19"/>
    <w:link w:val="12"/>
    <w:autoRedefine/>
    <w:qFormat/>
    <w:uiPriority w:val="99"/>
    <w:rPr>
      <w:sz w:val="18"/>
      <w:szCs w:val="18"/>
    </w:rPr>
  </w:style>
  <w:style w:type="character" w:customStyle="1" w:styleId="26">
    <w:name w:val="页脚 Char"/>
    <w:basedOn w:val="19"/>
    <w:link w:val="11"/>
    <w:autoRedefine/>
    <w:qFormat/>
    <w:uiPriority w:val="99"/>
    <w:rPr>
      <w:sz w:val="18"/>
      <w:szCs w:val="18"/>
    </w:rPr>
  </w:style>
  <w:style w:type="character" w:customStyle="1" w:styleId="27">
    <w:name w:val="批注框文本 Char"/>
    <w:basedOn w:val="19"/>
    <w:link w:val="10"/>
    <w:autoRedefine/>
    <w:semiHidden/>
    <w:qFormat/>
    <w:uiPriority w:val="99"/>
    <w:rPr>
      <w:rFonts w:ascii="Calibri" w:hAnsi="Calibri" w:eastAsia="宋体" w:cs="Times New Roman"/>
      <w:kern w:val="2"/>
      <w:sz w:val="18"/>
      <w:szCs w:val="18"/>
    </w:rPr>
  </w:style>
  <w:style w:type="paragraph" w:customStyle="1" w:styleId="28">
    <w:name w:val="CM24"/>
    <w:autoRedefine/>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9">
    <w:name w:val="List Paragraph"/>
    <w:basedOn w:val="1"/>
    <w:autoRedefine/>
    <w:unhideWhenUsed/>
    <w:qFormat/>
    <w:uiPriority w:val="99"/>
    <w:pPr>
      <w:ind w:firstLine="420" w:firstLineChars="200"/>
    </w:pPr>
  </w:style>
  <w:style w:type="paragraph" w:customStyle="1" w:styleId="30">
    <w:name w:val="正1"/>
    <w:basedOn w:val="1"/>
    <w:link w:val="35"/>
    <w:autoRedefine/>
    <w:qFormat/>
    <w:uiPriority w:val="0"/>
    <w:pPr>
      <w:spacing w:line="360" w:lineRule="auto"/>
      <w:ind w:firstLine="200" w:firstLineChars="200"/>
      <w:jc w:val="left"/>
    </w:pPr>
    <w:rPr>
      <w:rFonts w:eastAsia="楷体_GB2312"/>
      <w:sz w:val="24"/>
    </w:rPr>
  </w:style>
  <w:style w:type="character" w:customStyle="1" w:styleId="31">
    <w:name w:val="正文文本 Char"/>
    <w:basedOn w:val="19"/>
    <w:link w:val="5"/>
    <w:autoRedefine/>
    <w:qFormat/>
    <w:uiPriority w:val="0"/>
    <w:rPr>
      <w:kern w:val="2"/>
      <w:sz w:val="21"/>
    </w:rPr>
  </w:style>
  <w:style w:type="paragraph" w:customStyle="1" w:styleId="32">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33">
    <w:name w:val="批注文字 Char"/>
    <w:basedOn w:val="19"/>
    <w:link w:val="4"/>
    <w:autoRedefine/>
    <w:qFormat/>
    <w:uiPriority w:val="0"/>
    <w:rPr>
      <w:kern w:val="2"/>
      <w:sz w:val="21"/>
    </w:rPr>
  </w:style>
  <w:style w:type="paragraph" w:customStyle="1" w:styleId="34">
    <w:name w:val="ZW正文"/>
    <w:basedOn w:val="1"/>
    <w:autoRedefine/>
    <w:qFormat/>
    <w:uiPriority w:val="0"/>
    <w:pPr>
      <w:spacing w:line="500" w:lineRule="exact"/>
      <w:ind w:firstLine="480" w:firstLineChars="200"/>
    </w:pPr>
    <w:rPr>
      <w:rFonts w:ascii="Times New Roman" w:hAnsi="Times New Roman"/>
      <w:sz w:val="24"/>
      <w:szCs w:val="20"/>
    </w:rPr>
  </w:style>
  <w:style w:type="character" w:customStyle="1" w:styleId="35">
    <w:name w:val="正1 Char"/>
    <w:link w:val="30"/>
    <w:autoRedefine/>
    <w:qFormat/>
    <w:uiPriority w:val="0"/>
    <w:rPr>
      <w:rFonts w:ascii="Calibri" w:hAnsi="Calibri" w:eastAsia="楷体_GB2312"/>
      <w:kern w:val="2"/>
      <w:sz w:val="24"/>
      <w:szCs w:val="24"/>
    </w:rPr>
  </w:style>
  <w:style w:type="paragraph" w:customStyle="1" w:styleId="36">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7">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8">
    <w:name w:val="NormalCharacter"/>
    <w:autoRedefine/>
    <w:semiHidden/>
    <w:qFormat/>
    <w:uiPriority w:val="0"/>
  </w:style>
  <w:style w:type="paragraph" w:customStyle="1" w:styleId="39">
    <w:name w:val="Normal (Web)"/>
    <w:basedOn w:val="1"/>
    <w:autoRedefine/>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40">
    <w:name w:val="样式1"/>
    <w:basedOn w:val="1"/>
    <w:autoRedefine/>
    <w:qFormat/>
    <w:uiPriority w:val="0"/>
    <w:pPr>
      <w:adjustRightInd/>
      <w:snapToGrid/>
      <w:spacing w:after="0" w:line="360" w:lineRule="auto"/>
      <w:jc w:val="center"/>
    </w:pPr>
    <w:rPr>
      <w:rFonts w:ascii="仿宋_GB2312" w:hAnsi="Times New Roman" w:eastAsia="黑体" w:cs="Times New Roman"/>
      <w:b/>
      <w:kern w:val="2"/>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174B-0C53-4293-AF58-F2DC521C30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2520</Words>
  <Characters>2644</Characters>
  <Lines>18</Lines>
  <Paragraphs>5</Paragraphs>
  <TotalTime>0</TotalTime>
  <ScaleCrop>false</ScaleCrop>
  <LinksUpToDate>false</LinksUpToDate>
  <CharactersWithSpaces>2672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良言未素</cp:lastModifiedBy>
  <cp:lastPrinted>2019-02-26T02:51:00Z</cp:lastPrinted>
  <dcterms:modified xsi:type="dcterms:W3CDTF">2024-08-29T00:59:57Z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2E48D0C303DB46B78E4AEE9DD17F89AB_13</vt:lpwstr>
  </property>
</Properties>
</file>