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5B0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val="en-US" w:eastAsia="zh-CN"/>
        </w:rPr>
        <w:t>聊城市茌平区北控开源水务有限公司总氮提标改造项目</w:t>
      </w:r>
    </w:p>
    <w:p w14:paraId="11C517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14:paraId="4D0C8C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141A1CB1">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23A9A4C6">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58110C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4A1217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4D2418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1558DF2C">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608A85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eastAsia="宋体" w:cs="Times New Roman"/>
          <w:color w:val="auto"/>
          <w:sz w:val="24"/>
          <w:szCs w:val="24"/>
          <w:highlight w:val="none"/>
          <w:lang w:val="en-US" w:eastAsia="zh-CN"/>
        </w:rPr>
        <w:t>聊城市茌平区北控开源水务有限公司，成立于2020年，位于山东省聊城市，是一家以从事生态保护和环境治理业为主的企业。聊城市茌平区北控开源水务有限公司整个项目于2006年12月正式运行并通过环保验收</w:t>
      </w:r>
      <w:r>
        <w:rPr>
          <w:rFonts w:hint="eastAsia" w:ascii="Times New Roman" w:hAnsi="Times New Roman" w:eastAsia="宋体" w:cs="Times New Roman"/>
          <w:color w:val="auto"/>
          <w:sz w:val="24"/>
          <w:szCs w:val="24"/>
          <w:highlight w:val="none"/>
          <w:lang w:val="en-US" w:eastAsia="zh-CN"/>
        </w:rPr>
        <w:t>，项目建设地点为聊城市茌平区北外环1420号</w:t>
      </w:r>
      <w:r>
        <w:rPr>
          <w:rFonts w:hint="default" w:ascii="Times New Roman" w:hAnsi="Times New Roman" w:eastAsia="宋体" w:cs="Times New Roman"/>
          <w:color w:val="auto"/>
          <w:sz w:val="24"/>
          <w:szCs w:val="24"/>
          <w:highlight w:val="none"/>
          <w:lang w:val="en-US" w:eastAsia="zh-CN"/>
        </w:rPr>
        <w:t>。根据《固定污染源排污许可分类管理名录》要求，项目于2022年12月28日申领了排污许可证，申报的类别为重点管理，许可证登记编号为</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91371500MA3RE27Y1M001V。污水处理厂协议进水水质为CODcr</w:t>
      </w:r>
      <w:r>
        <w:rPr>
          <w:rFonts w:hint="default" w:ascii="Arial" w:hAnsi="Arial" w:eastAsia="宋体" w:cs="Arial"/>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550mg/L</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BODs</w:t>
      </w:r>
      <w:r>
        <w:rPr>
          <w:rFonts w:hint="default" w:ascii="Arial" w:hAnsi="Arial" w:eastAsia="宋体" w:cs="Arial"/>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320mg/L，SS</w:t>
      </w:r>
      <w:r>
        <w:rPr>
          <w:rFonts w:hint="default" w:ascii="Arial" w:hAnsi="Arial" w:eastAsia="宋体" w:cs="Arial"/>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300mg/L</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NH3-N</w:t>
      </w:r>
      <w:r>
        <w:rPr>
          <w:rFonts w:hint="default" w:ascii="Arial" w:hAnsi="Arial" w:eastAsia="宋体" w:cs="Arial"/>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45mg/L</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TN</w:t>
      </w:r>
      <w:r>
        <w:rPr>
          <w:rFonts w:hint="default" w:ascii="Arial" w:hAnsi="Arial" w:eastAsia="宋体" w:cs="Arial"/>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60mg/L，TP</w:t>
      </w:r>
      <w:r>
        <w:rPr>
          <w:rFonts w:hint="default" w:ascii="Arial" w:hAnsi="Arial" w:eastAsia="宋体" w:cs="Arial"/>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5mg/L，出水满足《城镇污水处理厂污染物排放标准》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18918-2002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一级A标准，其中COD、氨氮、TP、氟化物满足《地表水环境质量标准》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3838-2002</w:t>
      </w:r>
      <w:r>
        <w:rPr>
          <w:rFonts w:hint="eastAsia" w:ascii="Times New Roman" w:hAnsi="Times New Roman" w:eastAsia="宋体" w:cs="Times New Roman"/>
          <w:color w:val="auto"/>
          <w:sz w:val="24"/>
          <w:szCs w:val="24"/>
          <w:highlight w:val="none"/>
          <w:lang w:val="en-US" w:eastAsia="zh-CN"/>
        </w:rPr>
        <w:t>）IV</w:t>
      </w:r>
      <w:r>
        <w:rPr>
          <w:rFonts w:hint="default" w:ascii="Times New Roman" w:hAnsi="Times New Roman" w:eastAsia="宋体" w:cs="Times New Roman"/>
          <w:color w:val="auto"/>
          <w:sz w:val="24"/>
          <w:szCs w:val="24"/>
          <w:highlight w:val="none"/>
          <w:lang w:val="en-US" w:eastAsia="zh-CN"/>
        </w:rPr>
        <w:t>类水标准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BOD、SS、粪大肠菌群达到《地表水环境质量标准》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3838-2002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V类水标准后排放至茌中河。</w:t>
      </w:r>
    </w:p>
    <w:p w14:paraId="6E0E49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聊城市茌平区北控开源水务有限公司委托中国科学院海洋研究所编制《聊城市茌平区北控开源水务有限公司总氮提标改造项目环境影响报告表》，2001年11月12日原山东省环境保护局对该项目进行了批复。2024年8月，聊城市茌平区北控开源水务有限公司委托山东玖玺环保科技有限公司对聊城市茌平区北控开源水务有限公司总氮提标改造项目进行自主验收并验收通过。</w:t>
      </w:r>
    </w:p>
    <w:p w14:paraId="325265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2024年8月，聊城市茌平区北控开源水务有限公司委托山东玖玺环保科技有限公司于2024年8月9日、8月10日对聊城市茌平区北控开源水务有限公司总氮提标改造项目进行了验收检测。后对检测数据进行分析论证，在此基础上完成了项目竣工环境保护验收监测报告表的编制。本次项目验收范围为聊城市茌平区北控开源水务有限公司总氮提标改造工程项目。</w:t>
      </w:r>
    </w:p>
    <w:p w14:paraId="4091CD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聊城市茌平区北控开源水务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，于2024年8月31日</w:t>
      </w:r>
      <w:r>
        <w:rPr>
          <w:rFonts w:hint="eastAsia" w:ascii="Times New Roman" w:hAnsi="Times New Roman" w:cs="Times New Roman" w:eastAsiaTheme="minorEastAsia"/>
          <w:sz w:val="24"/>
          <w:szCs w:val="24"/>
          <w:lang w:val="en-US" w:eastAsia="zh-CN"/>
        </w:rPr>
        <w:t>验收工作组原则上同意该项目环保设施通过环保验收。</w:t>
      </w:r>
    </w:p>
    <w:p w14:paraId="003C792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2D40CC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014EB9B3">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786013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740D5DD3">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4C0419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3BAED4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1DD8F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6F7540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4F3869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497DC6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17194A2F">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本项目建设位于茌平区，对周边生态环境影响主要发生在施工期，为控制施工期的环境影响，应加强管理和采取以下几方面的措施：</w:t>
      </w:r>
    </w:p>
    <w:p w14:paraId="330ABDBB">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（1）周密计划，严密组织，加快施工进度，缩短整个工期，减少施工噪声的总排放量。</w:t>
      </w:r>
    </w:p>
    <w:p w14:paraId="2BC5CAFB">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（2）施工时应尽量合理调度大噪声设备的使用时间。</w:t>
      </w:r>
    </w:p>
    <w:p w14:paraId="281D937B">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（3）选用噪声值小的先进施工设备，特殊的敏感地区可采用人工开挖。</w:t>
      </w:r>
    </w:p>
    <w:p w14:paraId="7E78AA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lang w:val="en-US" w:eastAsia="zh-CN"/>
        </w:rPr>
        <w:t>（4）施工中产生的建筑垃圾应定点堆放，并及时清运或通知环卫部门清运处理，生活垃圾应日产日清，严禁随地丢弃。建筑垃圾及生活垃圾清运至有关部门规定的堆放地点堆放。</w:t>
      </w:r>
    </w:p>
    <w:p w14:paraId="4FA32B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bookmarkStart w:id="0" w:name="_GoBack"/>
      <w:bookmarkEnd w:id="0"/>
    </w:p>
    <w:p w14:paraId="6FB9D9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重点排污单位、其他排放口的监测指标自行监测要求，本项目废水自行监测计划见下表： </w:t>
      </w:r>
    </w:p>
    <w:p w14:paraId="3D4B53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w:t>
      </w:r>
      <w:r>
        <w:rPr>
          <w:rFonts w:hint="eastAsia" w:ascii="宋体" w:hAnsi="宋体" w:cs="宋体"/>
          <w:b/>
          <w:bCs/>
          <w:color w:val="000000"/>
          <w:kern w:val="0"/>
          <w:sz w:val="24"/>
          <w:szCs w:val="24"/>
          <w:lang w:val="en-US" w:eastAsia="zh-CN" w:bidi="ar"/>
        </w:rPr>
        <w:t>废水验收</w:t>
      </w:r>
      <w:r>
        <w:rPr>
          <w:rFonts w:hint="eastAsia" w:ascii="宋体" w:hAnsi="宋体" w:eastAsia="宋体" w:cs="宋体"/>
          <w:b/>
          <w:bCs/>
          <w:color w:val="000000"/>
          <w:kern w:val="0"/>
          <w:sz w:val="24"/>
          <w:szCs w:val="24"/>
          <w:lang w:val="en-US" w:eastAsia="zh-CN" w:bidi="ar"/>
        </w:rPr>
        <w:t>监测计划一览表</w:t>
      </w:r>
    </w:p>
    <w:tbl>
      <w:tblPr>
        <w:tblStyle w:val="20"/>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2051"/>
        <w:gridCol w:w="2171"/>
        <w:gridCol w:w="2172"/>
      </w:tblGrid>
      <w:tr w14:paraId="27100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1" w:type="dxa"/>
            <w:tcBorders>
              <w:tl2br w:val="nil"/>
              <w:tr2bl w:val="nil"/>
            </w:tcBorders>
            <w:vAlign w:val="center"/>
          </w:tcPr>
          <w:p w14:paraId="080CABE8">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2051" w:type="dxa"/>
            <w:tcBorders>
              <w:tl2br w:val="nil"/>
              <w:tr2bl w:val="nil"/>
            </w:tcBorders>
            <w:vAlign w:val="center"/>
          </w:tcPr>
          <w:p w14:paraId="4D336C44">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14:paraId="63D99067">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14:paraId="4B3F832A">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14:paraId="312C9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1" w:type="dxa"/>
            <w:tcBorders>
              <w:tl2br w:val="nil"/>
              <w:tr2bl w:val="nil"/>
            </w:tcBorders>
            <w:vAlign w:val="center"/>
          </w:tcPr>
          <w:p w14:paraId="578A26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废水总排口DW001</w:t>
            </w:r>
          </w:p>
        </w:tc>
        <w:tc>
          <w:tcPr>
            <w:tcW w:w="2051" w:type="dxa"/>
            <w:tcBorders>
              <w:tl2br w:val="nil"/>
              <w:tr2bl w:val="nil"/>
            </w:tcBorders>
            <w:vAlign w:val="center"/>
          </w:tcPr>
          <w:p w14:paraId="227707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color w:val="auto"/>
                <w:sz w:val="24"/>
                <w:szCs w:val="24"/>
                <w:highlight w:val="none"/>
                <w:lang w:val="en-US" w:eastAsia="zh-CN"/>
              </w:rPr>
              <w:t>PH</w:t>
            </w:r>
            <w:r>
              <w:rPr>
                <w:rFonts w:hint="eastAsia"/>
                <w:color w:val="auto"/>
                <w:sz w:val="24"/>
                <w:szCs w:val="24"/>
                <w:highlight w:val="none"/>
                <w:lang w:eastAsia="zh-CN"/>
              </w:rPr>
              <w:t>、</w:t>
            </w:r>
            <w:r>
              <w:rPr>
                <w:rFonts w:hint="eastAsia"/>
                <w:color w:val="auto"/>
                <w:sz w:val="24"/>
                <w:szCs w:val="24"/>
                <w:highlight w:val="none"/>
                <w:lang w:val="en-US" w:eastAsia="zh-CN"/>
              </w:rPr>
              <w:t>水温、流量、色度、悬浮物、化学需氧量、五日生化需氧量、氨氮、总氮、总磷、石油类、动植物油、粪大肠菌群、阴离子表面活性剂、汞、砷、镉、铅、总铬、六价铬、氟化物、氰化物、硫化物、苯胺类、烷基汞</w:t>
            </w:r>
          </w:p>
        </w:tc>
        <w:tc>
          <w:tcPr>
            <w:tcW w:w="2171" w:type="dxa"/>
            <w:tcBorders>
              <w:tl2br w:val="nil"/>
              <w:tr2bl w:val="nil"/>
            </w:tcBorders>
            <w:vAlign w:val="center"/>
          </w:tcPr>
          <w:p w14:paraId="5BAD22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4次/天；连续两天</w:t>
            </w:r>
          </w:p>
        </w:tc>
        <w:tc>
          <w:tcPr>
            <w:tcW w:w="2172" w:type="dxa"/>
            <w:tcBorders>
              <w:tl2br w:val="nil"/>
              <w:tr2bl w:val="nil"/>
            </w:tcBorders>
            <w:vAlign w:val="center"/>
          </w:tcPr>
          <w:p w14:paraId="67FEE0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76428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1" w:type="dxa"/>
            <w:tcBorders>
              <w:tl2br w:val="nil"/>
              <w:tr2bl w:val="nil"/>
            </w:tcBorders>
            <w:vAlign w:val="center"/>
          </w:tcPr>
          <w:p w14:paraId="53049D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eastAsia="宋体" w:cs="Times New Roman"/>
                <w:color w:val="auto"/>
                <w:sz w:val="24"/>
                <w:szCs w:val="24"/>
                <w:highlight w:val="none"/>
                <w:lang w:val="en-US" w:eastAsia="zh-CN"/>
              </w:rPr>
              <w:t>进水总管MW001</w:t>
            </w:r>
          </w:p>
        </w:tc>
        <w:tc>
          <w:tcPr>
            <w:tcW w:w="2051" w:type="dxa"/>
            <w:tcBorders>
              <w:tl2br w:val="nil"/>
              <w:tr2bl w:val="nil"/>
            </w:tcBorders>
            <w:vAlign w:val="center"/>
          </w:tcPr>
          <w:p w14:paraId="039960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PH</w:t>
            </w:r>
            <w:r>
              <w:rPr>
                <w:rFonts w:hint="eastAsia"/>
                <w:color w:val="auto"/>
                <w:sz w:val="24"/>
                <w:szCs w:val="24"/>
                <w:highlight w:val="none"/>
                <w:lang w:eastAsia="zh-CN"/>
              </w:rPr>
              <w:t>、</w:t>
            </w:r>
            <w:r>
              <w:rPr>
                <w:rFonts w:hint="eastAsia"/>
                <w:color w:val="auto"/>
                <w:sz w:val="24"/>
                <w:szCs w:val="24"/>
                <w:highlight w:val="none"/>
                <w:lang w:val="en-US" w:eastAsia="zh-CN"/>
              </w:rPr>
              <w:t>水温、流量、色度、悬浮物、化学需氧量、五日生化需氧量、氨氮、总氮、总磷、石油类、动植物油、粪大肠菌群、阴离子表面活性剂、汞、砷、镉、铅、总铬、六价铬、氟化物、氰化物、硫化物、苯胺类、烷基汞</w:t>
            </w:r>
          </w:p>
        </w:tc>
        <w:tc>
          <w:tcPr>
            <w:tcW w:w="2171" w:type="dxa"/>
            <w:tcBorders>
              <w:tl2br w:val="nil"/>
              <w:tr2bl w:val="nil"/>
            </w:tcBorders>
            <w:vAlign w:val="center"/>
          </w:tcPr>
          <w:p w14:paraId="657C6B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4次/天；连续两天</w:t>
            </w:r>
          </w:p>
        </w:tc>
        <w:tc>
          <w:tcPr>
            <w:tcW w:w="2172" w:type="dxa"/>
            <w:tcBorders>
              <w:tl2br w:val="nil"/>
              <w:tr2bl w:val="nil"/>
            </w:tcBorders>
            <w:vAlign w:val="center"/>
          </w:tcPr>
          <w:p w14:paraId="1A8CB0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14:paraId="57E7077F">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197927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2AAEC1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5AA4C2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3F4F4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1D98F9F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0B002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1E546A91">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131D59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3F1534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（1）严格按照相关申报材料和管理部门的要求进行生产活动；</w:t>
      </w:r>
    </w:p>
    <w:p w14:paraId="446A86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整改/修改情况：已严格按照相关申报材料和管理部门的要求进行生产活动。</w:t>
      </w:r>
    </w:p>
    <w:p w14:paraId="5F8211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完善环保设施操作管理规程，设置环境保护设施管理台帐，加强废水治理管理，确保废水稳定达标排放；</w:t>
      </w:r>
    </w:p>
    <w:p w14:paraId="10814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整改/修改情况：已完善了环保设施操作管理规程，并设置环境保护设施管理台帐，加强废水治理管理，确保废水稳定达标排放。</w:t>
      </w:r>
    </w:p>
    <w:p w14:paraId="56DB5F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定期开展废水自行监测，按要求进行环境信息公开</w:t>
      </w:r>
      <w:r>
        <w:rPr>
          <w:rFonts w:hint="eastAsia" w:ascii="Times New Roman" w:hAnsi="Times New Roman" w:cs="Times New Roman" w:eastAsiaTheme="minorEastAsia"/>
          <w:sz w:val="24"/>
          <w:szCs w:val="24"/>
          <w:lang w:val="en-US" w:eastAsia="zh-CN"/>
        </w:rPr>
        <w:t>；</w:t>
      </w:r>
    </w:p>
    <w:p w14:paraId="3245DA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整改/修改情况：已定期开展废水自行监测，并按要求进行环境信息公开。</w:t>
      </w:r>
    </w:p>
    <w:p w14:paraId="70AD31C2">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96D06CD">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7F13048E">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6D25F48"/>
    <w:rsid w:val="08981135"/>
    <w:rsid w:val="08AC6127"/>
    <w:rsid w:val="0ADB5E7A"/>
    <w:rsid w:val="0B472137"/>
    <w:rsid w:val="0C8223EB"/>
    <w:rsid w:val="0D0001DD"/>
    <w:rsid w:val="11625F1D"/>
    <w:rsid w:val="140B7F29"/>
    <w:rsid w:val="141B57BA"/>
    <w:rsid w:val="16154F53"/>
    <w:rsid w:val="16C15CF6"/>
    <w:rsid w:val="17B71A49"/>
    <w:rsid w:val="182F2017"/>
    <w:rsid w:val="199155F1"/>
    <w:rsid w:val="19A12421"/>
    <w:rsid w:val="1A2A15A2"/>
    <w:rsid w:val="1AAE2376"/>
    <w:rsid w:val="1B1851B0"/>
    <w:rsid w:val="1C0D1583"/>
    <w:rsid w:val="1F7E33E3"/>
    <w:rsid w:val="20C33720"/>
    <w:rsid w:val="20FF1092"/>
    <w:rsid w:val="218C6A2F"/>
    <w:rsid w:val="22B36145"/>
    <w:rsid w:val="24657C98"/>
    <w:rsid w:val="24C100AF"/>
    <w:rsid w:val="26F95E73"/>
    <w:rsid w:val="270B5883"/>
    <w:rsid w:val="280E0F94"/>
    <w:rsid w:val="288C09DE"/>
    <w:rsid w:val="2ABB7EB6"/>
    <w:rsid w:val="2F1728B1"/>
    <w:rsid w:val="30674F5B"/>
    <w:rsid w:val="321E3342"/>
    <w:rsid w:val="352B1605"/>
    <w:rsid w:val="35475771"/>
    <w:rsid w:val="39DE1D35"/>
    <w:rsid w:val="3BD50FCD"/>
    <w:rsid w:val="42A64878"/>
    <w:rsid w:val="446F2B9F"/>
    <w:rsid w:val="44756DC2"/>
    <w:rsid w:val="44CD1674"/>
    <w:rsid w:val="452C453B"/>
    <w:rsid w:val="478466B3"/>
    <w:rsid w:val="4B8B520A"/>
    <w:rsid w:val="4D5558B4"/>
    <w:rsid w:val="4E751289"/>
    <w:rsid w:val="4EF37070"/>
    <w:rsid w:val="502328A6"/>
    <w:rsid w:val="50B31CFD"/>
    <w:rsid w:val="518A07B0"/>
    <w:rsid w:val="52B018E5"/>
    <w:rsid w:val="53146370"/>
    <w:rsid w:val="536E48F6"/>
    <w:rsid w:val="53DD36D8"/>
    <w:rsid w:val="54E91C64"/>
    <w:rsid w:val="54EE0658"/>
    <w:rsid w:val="550429A6"/>
    <w:rsid w:val="554373C5"/>
    <w:rsid w:val="562954F0"/>
    <w:rsid w:val="5A0C3D15"/>
    <w:rsid w:val="5C084E7C"/>
    <w:rsid w:val="5DEA664B"/>
    <w:rsid w:val="5F9C768C"/>
    <w:rsid w:val="60A878DC"/>
    <w:rsid w:val="60B82B42"/>
    <w:rsid w:val="62536A85"/>
    <w:rsid w:val="63AE1EC8"/>
    <w:rsid w:val="641B4FF7"/>
    <w:rsid w:val="649460BF"/>
    <w:rsid w:val="64E04972"/>
    <w:rsid w:val="68D4001D"/>
    <w:rsid w:val="6A4662AD"/>
    <w:rsid w:val="6A7038C2"/>
    <w:rsid w:val="6AAE1741"/>
    <w:rsid w:val="6C9227DE"/>
    <w:rsid w:val="6F5F79E8"/>
    <w:rsid w:val="70904E30"/>
    <w:rsid w:val="71BE777B"/>
    <w:rsid w:val="72F378F8"/>
    <w:rsid w:val="75926377"/>
    <w:rsid w:val="75CC31FA"/>
    <w:rsid w:val="7696248B"/>
    <w:rsid w:val="76A35191"/>
    <w:rsid w:val="79425628"/>
    <w:rsid w:val="7A7F09A7"/>
    <w:rsid w:val="7ACF34CF"/>
    <w:rsid w:val="7B910714"/>
    <w:rsid w:val="7C2D2E8E"/>
    <w:rsid w:val="7CC72557"/>
    <w:rsid w:val="7D422132"/>
    <w:rsid w:val="7E784B20"/>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6">
    <w:name w:val="annotation text"/>
    <w:basedOn w:val="1"/>
    <w:link w:val="33"/>
    <w:autoRedefine/>
    <w:qFormat/>
    <w:uiPriority w:val="0"/>
    <w:pPr>
      <w:jc w:val="left"/>
    </w:pPr>
    <w:rPr>
      <w:rFonts w:ascii="Times New Roman" w:hAnsi="Times New Roman"/>
      <w:szCs w:val="20"/>
    </w:rPr>
  </w:style>
  <w:style w:type="paragraph" w:styleId="7">
    <w:name w:val="Body Text"/>
    <w:basedOn w:val="1"/>
    <w:next w:val="8"/>
    <w:link w:val="31"/>
    <w:qFormat/>
    <w:uiPriority w:val="0"/>
    <w:pPr>
      <w:spacing w:after="120"/>
    </w:pPr>
    <w:rPr>
      <w:rFonts w:ascii="Times New Roman" w:hAnsi="Times New Roman"/>
      <w:szCs w:val="20"/>
    </w:rPr>
  </w:style>
  <w:style w:type="paragraph" w:styleId="8">
    <w:name w:val="Date"/>
    <w:basedOn w:val="1"/>
    <w:next w:val="1"/>
    <w:qFormat/>
    <w:uiPriority w:val="0"/>
    <w:pPr>
      <w:ind w:left="100" w:leftChars="2500"/>
    </w:pPr>
    <w:rPr>
      <w:rFonts w:ascii="Times New Roman" w:hAnsi="Times New Roman" w:eastAsia="宋体" w:cs="Times New Roman"/>
      <w:kern w:val="0"/>
      <w:sz w:val="24"/>
      <w:szCs w:val="20"/>
    </w:rPr>
  </w:style>
  <w:style w:type="paragraph" w:styleId="9">
    <w:name w:val="Body Text Indent"/>
    <w:basedOn w:val="1"/>
    <w:next w:val="10"/>
    <w:autoRedefine/>
    <w:unhideWhenUsed/>
    <w:qFormat/>
    <w:uiPriority w:val="99"/>
    <w:pPr>
      <w:ind w:left="420" w:leftChars="200"/>
    </w:pPr>
  </w:style>
  <w:style w:type="paragraph" w:customStyle="1" w:styleId="10">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1">
    <w:name w:val="Plain Text"/>
    <w:basedOn w:val="1"/>
    <w:next w:val="9"/>
    <w:autoRedefine/>
    <w:qFormat/>
    <w:uiPriority w:val="0"/>
    <w:rPr>
      <w:rFonts w:ascii="宋体" w:hAnsi="Courier New" w:cs="Courier New"/>
      <w:szCs w:val="21"/>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w:basedOn w:val="7"/>
    <w:next w:val="1"/>
    <w:qFormat/>
    <w:uiPriority w:val="0"/>
    <w:pPr>
      <w:tabs>
        <w:tab w:val="left" w:pos="0"/>
      </w:tabs>
      <w:spacing w:line="240" w:lineRule="auto"/>
      <w:ind w:firstLine="420" w:firstLineChars="100"/>
    </w:pPr>
    <w:rPr>
      <w:sz w:val="21"/>
    </w:rPr>
  </w:style>
  <w:style w:type="paragraph" w:styleId="18">
    <w:name w:val="Body Text First Indent 2"/>
    <w:basedOn w:val="9"/>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autoRedefine/>
    <w:qFormat/>
    <w:uiPriority w:val="0"/>
    <w:rPr>
      <w:sz w:val="21"/>
      <w:szCs w:val="21"/>
    </w:rPr>
  </w:style>
  <w:style w:type="paragraph" w:customStyle="1" w:styleId="23">
    <w:name w:val="报告书正文"/>
    <w:basedOn w:val="17"/>
    <w:next w:val="1"/>
    <w:autoRedefine/>
    <w:qFormat/>
    <w:uiPriority w:val="99"/>
    <w:pPr>
      <w:adjustRightInd w:val="0"/>
      <w:spacing w:line="500" w:lineRule="exact"/>
      <w:ind w:firstLine="200" w:firstLineChars="200"/>
      <w:textAlignment w:val="baseline"/>
    </w:pPr>
    <w:rPr>
      <w:bCs/>
      <w:sz w:val="24"/>
      <w:szCs w:val="20"/>
    </w:rPr>
  </w:style>
  <w:style w:type="paragraph" w:customStyle="1" w:styleId="24">
    <w:name w:val="li_正文"/>
    <w:basedOn w:val="1"/>
    <w:autoRedefine/>
    <w:qFormat/>
    <w:uiPriority w:val="0"/>
    <w:pPr>
      <w:ind w:firstLine="200" w:firstLineChars="200"/>
      <w:jc w:val="left"/>
    </w:pPr>
    <w:rPr>
      <w:sz w:val="28"/>
      <w:szCs w:val="28"/>
    </w:rPr>
  </w:style>
  <w:style w:type="character" w:customStyle="1" w:styleId="25">
    <w:name w:val="页眉 Char"/>
    <w:basedOn w:val="21"/>
    <w:link w:val="14"/>
    <w:autoRedefine/>
    <w:qFormat/>
    <w:uiPriority w:val="99"/>
    <w:rPr>
      <w:sz w:val="18"/>
      <w:szCs w:val="18"/>
    </w:rPr>
  </w:style>
  <w:style w:type="character" w:customStyle="1" w:styleId="26">
    <w:name w:val="页脚 Char"/>
    <w:basedOn w:val="21"/>
    <w:link w:val="13"/>
    <w:autoRedefine/>
    <w:qFormat/>
    <w:uiPriority w:val="99"/>
    <w:rPr>
      <w:sz w:val="18"/>
      <w:szCs w:val="18"/>
    </w:rPr>
  </w:style>
  <w:style w:type="character" w:customStyle="1" w:styleId="27">
    <w:name w:val="批注框文本 Char"/>
    <w:basedOn w:val="21"/>
    <w:link w:val="12"/>
    <w:autoRedefine/>
    <w:semiHidden/>
    <w:qFormat/>
    <w:uiPriority w:val="99"/>
    <w:rPr>
      <w:rFonts w:ascii="Calibri" w:hAnsi="Calibri" w:eastAsia="宋体" w:cs="Times New Roman"/>
      <w:kern w:val="2"/>
      <w:sz w:val="18"/>
      <w:szCs w:val="18"/>
    </w:rPr>
  </w:style>
  <w:style w:type="paragraph" w:customStyle="1" w:styleId="28">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9">
    <w:name w:val="List Paragraph"/>
    <w:basedOn w:val="1"/>
    <w:autoRedefine/>
    <w:unhideWhenUsed/>
    <w:qFormat/>
    <w:uiPriority w:val="99"/>
    <w:pPr>
      <w:ind w:firstLine="420" w:firstLineChars="200"/>
    </w:pPr>
  </w:style>
  <w:style w:type="paragraph" w:customStyle="1" w:styleId="30">
    <w:name w:val="正1"/>
    <w:basedOn w:val="1"/>
    <w:link w:val="35"/>
    <w:autoRedefine/>
    <w:qFormat/>
    <w:uiPriority w:val="0"/>
    <w:pPr>
      <w:spacing w:line="360" w:lineRule="auto"/>
      <w:ind w:firstLine="200" w:firstLineChars="200"/>
      <w:jc w:val="left"/>
    </w:pPr>
    <w:rPr>
      <w:rFonts w:eastAsia="楷体_GB2312"/>
      <w:sz w:val="24"/>
    </w:rPr>
  </w:style>
  <w:style w:type="character" w:customStyle="1" w:styleId="31">
    <w:name w:val="正文文本 Char"/>
    <w:basedOn w:val="21"/>
    <w:link w:val="7"/>
    <w:autoRedefine/>
    <w:qFormat/>
    <w:uiPriority w:val="0"/>
    <w:rPr>
      <w:kern w:val="2"/>
      <w:sz w:val="21"/>
    </w:rPr>
  </w:style>
  <w:style w:type="paragraph" w:customStyle="1" w:styleId="32">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3">
    <w:name w:val="批注文字 Char"/>
    <w:basedOn w:val="21"/>
    <w:link w:val="6"/>
    <w:autoRedefine/>
    <w:qFormat/>
    <w:uiPriority w:val="0"/>
    <w:rPr>
      <w:kern w:val="2"/>
      <w:sz w:val="21"/>
    </w:rPr>
  </w:style>
  <w:style w:type="paragraph" w:customStyle="1" w:styleId="34">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5">
    <w:name w:val="正1 Char"/>
    <w:link w:val="30"/>
    <w:autoRedefine/>
    <w:qFormat/>
    <w:uiPriority w:val="0"/>
    <w:rPr>
      <w:rFonts w:ascii="Calibri" w:hAnsi="Calibri" w:eastAsia="楷体_GB2312"/>
      <w:kern w:val="2"/>
      <w:sz w:val="24"/>
      <w:szCs w:val="24"/>
    </w:rPr>
  </w:style>
  <w:style w:type="paragraph" w:customStyle="1" w:styleId="36">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7">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8">
    <w:name w:val="NormalCharacter"/>
    <w:autoRedefine/>
    <w:semiHidden/>
    <w:qFormat/>
    <w:uiPriority w:val="0"/>
  </w:style>
  <w:style w:type="paragraph" w:customStyle="1" w:styleId="39">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0">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2540</Words>
  <Characters>2720</Characters>
  <Lines>18</Lines>
  <Paragraphs>5</Paragraphs>
  <TotalTime>3</TotalTime>
  <ScaleCrop>false</ScaleCrop>
  <LinksUpToDate>false</LinksUpToDate>
  <CharactersWithSpaces>2747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Administrator</cp:lastModifiedBy>
  <cp:lastPrinted>2019-02-26T02:51:00Z</cp:lastPrinted>
  <dcterms:modified xsi:type="dcterms:W3CDTF">2024-08-30T12:02:11Z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2E48D0C303DB46B78E4AEE9DD17F89AB_13</vt:lpwstr>
  </property>
</Properties>
</file>