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9F59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30"/>
          <w:szCs w:val="30"/>
          <w:lang w:val="en-US" w:eastAsia="zh-CN"/>
        </w:rPr>
      </w:pPr>
      <w:r>
        <w:rPr>
          <w:rFonts w:hint="eastAsia" w:ascii="Times New Roman" w:hAnsi="Times New Roman" w:cs="Times New Roman" w:eastAsiaTheme="majorEastAsia"/>
          <w:b/>
          <w:bCs/>
          <w:sz w:val="30"/>
          <w:szCs w:val="30"/>
          <w:lang w:val="en-US" w:eastAsia="zh-CN"/>
        </w:rPr>
        <w:t>聊城骐程新材料科技有限公司</w:t>
      </w:r>
    </w:p>
    <w:p w14:paraId="3B95B03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30"/>
          <w:szCs w:val="30"/>
          <w:lang w:val="en-US" w:eastAsia="zh-CN"/>
        </w:rPr>
      </w:pPr>
      <w:r>
        <w:rPr>
          <w:rFonts w:hint="eastAsia" w:ascii="Times New Roman" w:hAnsi="Times New Roman" w:cs="Times New Roman" w:eastAsiaTheme="majorEastAsia"/>
          <w:b/>
          <w:bCs/>
          <w:sz w:val="30"/>
          <w:szCs w:val="30"/>
          <w:lang w:val="en-US" w:eastAsia="zh-CN"/>
        </w:rPr>
        <w:t>年加工食品包装盒3000吨及食品包装袋2000吨项目（一期）</w:t>
      </w:r>
    </w:p>
    <w:p w14:paraId="11C5177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30"/>
          <w:szCs w:val="30"/>
          <w:lang w:eastAsia="zh-CN"/>
        </w:rPr>
      </w:pPr>
      <w:r>
        <w:rPr>
          <w:rFonts w:hint="default" w:ascii="Times New Roman" w:hAnsi="Times New Roman" w:cs="Times New Roman" w:eastAsiaTheme="majorEastAsia"/>
          <w:b/>
          <w:bCs/>
          <w:sz w:val="30"/>
          <w:szCs w:val="30"/>
          <w:lang w:eastAsia="zh-CN"/>
        </w:rPr>
        <w:t>竣工环境保护验收</w:t>
      </w:r>
      <w:r>
        <w:rPr>
          <w:rFonts w:hint="eastAsia" w:ascii="Times New Roman" w:hAnsi="Times New Roman" w:cs="Times New Roman" w:eastAsiaTheme="majorEastAsia"/>
          <w:b/>
          <w:bCs/>
          <w:sz w:val="30"/>
          <w:szCs w:val="30"/>
          <w:lang w:eastAsia="zh-CN"/>
        </w:rPr>
        <w:t>其他需要说明的事项</w:t>
      </w:r>
    </w:p>
    <w:p w14:paraId="4D0C8C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14:paraId="141A1CB1">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14:paraId="23A9A4C6">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14:paraId="58110C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14:paraId="04A12177">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14:paraId="4D2418E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14:paraId="1558DF2C">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14:paraId="0175B4D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eastAsia="宋体" w:cs="Times New Roman"/>
          <w:color w:val="auto"/>
          <w:sz w:val="24"/>
          <w:szCs w:val="24"/>
          <w:highlight w:val="none"/>
          <w:lang w:val="en-US" w:eastAsia="zh-CN"/>
        </w:rPr>
        <w:t>聊城骐程新材料科技有限公司，成立于2021年，是一家从事塑料制品业为主的企业。因资金及前期的业务量等问题，本项目分两期建设，本次验收仅为一期项目。项目为</w:t>
      </w:r>
      <w:r>
        <w:rPr>
          <w:rFonts w:hint="eastAsia" w:ascii="Times New Roman" w:hAnsi="Times New Roman" w:eastAsia="宋体"/>
          <w:color w:val="auto"/>
          <w:sz w:val="24"/>
          <w:szCs w:val="24"/>
          <w:highlight w:val="none"/>
          <w:lang w:eastAsia="zh-CN"/>
        </w:rPr>
        <w:t>聊城骐程新材料科技有限公司年加工食品包装盒3000吨及食品包装袋2000吨项目（一期：年加工食品包装盒</w:t>
      </w:r>
      <w:r>
        <w:rPr>
          <w:rFonts w:hint="eastAsia" w:ascii="Times New Roman" w:hAnsi="Times New Roman" w:eastAsia="宋体"/>
          <w:color w:val="auto"/>
          <w:sz w:val="24"/>
          <w:szCs w:val="24"/>
          <w:highlight w:val="none"/>
          <w:lang w:val="en-US" w:eastAsia="zh-CN"/>
        </w:rPr>
        <w:t>1500</w:t>
      </w:r>
      <w:r>
        <w:rPr>
          <w:rFonts w:hint="eastAsia" w:ascii="Times New Roman" w:hAnsi="Times New Roman" w:eastAsia="宋体"/>
          <w:color w:val="auto"/>
          <w:sz w:val="24"/>
          <w:szCs w:val="24"/>
          <w:highlight w:val="none"/>
          <w:lang w:eastAsia="zh-CN"/>
        </w:rPr>
        <w:t>吨），</w:t>
      </w:r>
      <w:r>
        <w:rPr>
          <w:rFonts w:hint="eastAsia" w:ascii="Times New Roman" w:hAnsi="Times New Roman" w:eastAsia="宋体" w:cs="Times New Roman"/>
          <w:color w:val="auto"/>
          <w:sz w:val="24"/>
          <w:szCs w:val="24"/>
          <w:highlight w:val="none"/>
          <w:lang w:val="en-US" w:eastAsia="zh-CN"/>
        </w:rPr>
        <w:t>建设项目位于</w:t>
      </w:r>
      <w:r>
        <w:rPr>
          <w:rFonts w:hint="eastAsia" w:ascii="Times New Roman" w:hAnsi="Times New Roman" w:eastAsia="宋体" w:cs="Times New Roman"/>
          <w:sz w:val="24"/>
          <w:szCs w:val="24"/>
          <w:highlight w:val="none"/>
          <w:lang w:val="en-US" w:eastAsia="zh-CN"/>
        </w:rPr>
        <w:t>聊城市莘县办事处耕莘街中段路南（莘县四通实业有限公司院内）</w:t>
      </w:r>
      <w:r>
        <w:rPr>
          <w:rFonts w:hint="eastAsia" w:ascii="Times New Roman" w:hAnsi="Times New Roman" w:eastAsia="宋体" w:cs="Times New Roman"/>
          <w:color w:val="auto"/>
          <w:sz w:val="24"/>
          <w:szCs w:val="24"/>
          <w:highlight w:val="none"/>
          <w:lang w:val="en-US" w:eastAsia="zh-CN"/>
        </w:rPr>
        <w:t>（115度40分37.2秒E，36度16分12秒N）。项目现已达到</w:t>
      </w:r>
      <w:r>
        <w:rPr>
          <w:rFonts w:hint="eastAsia" w:ascii="Times New Roman" w:hAnsi="Times New Roman" w:eastAsia="宋体"/>
          <w:color w:val="auto"/>
          <w:sz w:val="24"/>
          <w:szCs w:val="24"/>
          <w:highlight w:val="none"/>
          <w:lang w:eastAsia="zh-CN"/>
        </w:rPr>
        <w:t>年加工食品包装盒</w:t>
      </w:r>
      <w:r>
        <w:rPr>
          <w:rFonts w:hint="eastAsia" w:ascii="Times New Roman" w:hAnsi="Times New Roman" w:eastAsia="宋体"/>
          <w:color w:val="auto"/>
          <w:sz w:val="24"/>
          <w:szCs w:val="24"/>
          <w:highlight w:val="none"/>
          <w:lang w:val="en-US" w:eastAsia="zh-CN"/>
        </w:rPr>
        <w:t>1500</w:t>
      </w:r>
      <w:r>
        <w:rPr>
          <w:rFonts w:hint="eastAsia" w:ascii="Times New Roman" w:hAnsi="Times New Roman" w:eastAsia="宋体"/>
          <w:color w:val="auto"/>
          <w:sz w:val="24"/>
          <w:szCs w:val="24"/>
          <w:highlight w:val="none"/>
          <w:lang w:eastAsia="zh-CN"/>
        </w:rPr>
        <w:t>吨</w:t>
      </w:r>
      <w:r>
        <w:rPr>
          <w:rFonts w:hint="eastAsia" w:ascii="Times New Roman" w:hAnsi="Times New Roman" w:eastAsia="宋体" w:cs="Times New Roman"/>
          <w:color w:val="auto"/>
          <w:sz w:val="24"/>
          <w:szCs w:val="24"/>
          <w:highlight w:val="none"/>
          <w:lang w:val="en-US" w:eastAsia="zh-CN"/>
        </w:rPr>
        <w:t>的生产能力。</w:t>
      </w:r>
    </w:p>
    <w:p w14:paraId="386A4C43">
      <w:pPr>
        <w:widowControl w:val="0"/>
        <w:spacing w:line="360" w:lineRule="auto"/>
        <w:ind w:firstLine="480" w:firstLineChars="200"/>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1</w:t>
      </w:r>
      <w:r>
        <w:rPr>
          <w:rFonts w:ascii="Times New Roman" w:hAnsi="Times New Roman" w:eastAsia="宋体"/>
          <w:color w:val="auto"/>
          <w:sz w:val="24"/>
          <w:szCs w:val="24"/>
          <w:highlight w:val="none"/>
        </w:rPr>
        <w:t>年</w:t>
      </w:r>
      <w:r>
        <w:rPr>
          <w:rFonts w:hint="eastAsia" w:ascii="Times New Roman" w:hAnsi="Times New Roman"/>
          <w:color w:val="auto"/>
          <w:sz w:val="24"/>
          <w:szCs w:val="24"/>
          <w:highlight w:val="none"/>
          <w:lang w:val="en-US" w:eastAsia="zh-CN"/>
        </w:rPr>
        <w:t>09</w:t>
      </w:r>
      <w:bookmarkStart w:id="0" w:name="_GoBack"/>
      <w:bookmarkEnd w:id="0"/>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聊城骐程新材料科技有限公司</w:t>
      </w:r>
      <w:r>
        <w:rPr>
          <w:rFonts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山东博瑞达环保科技有限公司</w:t>
      </w:r>
      <w:r>
        <w:rPr>
          <w:rFonts w:ascii="Times New Roman" w:hAnsi="Times New Roman" w:eastAsia="宋体"/>
          <w:color w:val="auto"/>
          <w:sz w:val="24"/>
          <w:szCs w:val="24"/>
          <w:highlight w:val="none"/>
        </w:rPr>
        <w:t>编制《</w:t>
      </w:r>
      <w:r>
        <w:rPr>
          <w:rFonts w:hint="eastAsia" w:ascii="Times New Roman" w:hAnsi="Times New Roman" w:eastAsia="宋体"/>
          <w:color w:val="auto"/>
          <w:sz w:val="24"/>
          <w:szCs w:val="24"/>
          <w:highlight w:val="none"/>
          <w:lang w:eastAsia="zh-CN"/>
        </w:rPr>
        <w:t>聊城骐程新材料科技有限公司年加工食品包装盒3000吨及食品包装袋2000吨项目</w:t>
      </w:r>
      <w:r>
        <w:rPr>
          <w:rFonts w:ascii="Times New Roman" w:hAnsi="Times New Roman" w:eastAsia="宋体"/>
          <w:color w:val="auto"/>
          <w:sz w:val="24"/>
          <w:szCs w:val="24"/>
          <w:highlight w:val="none"/>
        </w:rPr>
        <w:t>环境影响报告表》，202</w:t>
      </w:r>
      <w:r>
        <w:rPr>
          <w:rFonts w:hint="eastAsia" w:ascii="Times New Roman" w:hAnsi="Times New Roman" w:eastAsia="宋体"/>
          <w:color w:val="auto"/>
          <w:sz w:val="24"/>
          <w:szCs w:val="24"/>
          <w:highlight w:val="none"/>
          <w:lang w:val="en-US" w:eastAsia="zh-CN"/>
        </w:rPr>
        <w:t>2</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1</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20</w:t>
      </w:r>
      <w:r>
        <w:rPr>
          <w:rFonts w:ascii="Times New Roman" w:hAnsi="Times New Roman" w:eastAsia="宋体"/>
          <w:color w:val="auto"/>
          <w:sz w:val="24"/>
          <w:szCs w:val="24"/>
          <w:highlight w:val="none"/>
        </w:rPr>
        <w:t>日</w:t>
      </w:r>
      <w:r>
        <w:rPr>
          <w:rFonts w:hint="eastAsia" w:ascii="Times New Roman" w:hAnsi="Times New Roman" w:eastAsia="宋体"/>
          <w:color w:val="auto"/>
          <w:sz w:val="24"/>
          <w:szCs w:val="24"/>
          <w:highlight w:val="none"/>
          <w:lang w:eastAsia="zh-CN"/>
        </w:rPr>
        <w:t>莘县行政审批服务局</w:t>
      </w:r>
      <w:r>
        <w:rPr>
          <w:rFonts w:ascii="Times New Roman" w:hAnsi="Times New Roman" w:eastAsia="宋体"/>
          <w:color w:val="auto"/>
          <w:sz w:val="24"/>
          <w:szCs w:val="24"/>
          <w:highlight w:val="none"/>
        </w:rPr>
        <w:t>以</w:t>
      </w:r>
      <w:r>
        <w:rPr>
          <w:rFonts w:hint="eastAsia" w:ascii="Times New Roman" w:hAnsi="Times New Roman" w:eastAsia="宋体"/>
          <w:color w:val="auto"/>
          <w:sz w:val="24"/>
          <w:szCs w:val="24"/>
          <w:highlight w:val="none"/>
          <w:lang w:eastAsia="zh-CN"/>
        </w:rPr>
        <w:t>莘行审报告表〔202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eastAsia="zh-CN"/>
        </w:rPr>
        <w:t>号</w:t>
      </w:r>
      <w:r>
        <w:rPr>
          <w:rFonts w:hint="eastAsia" w:ascii="Times New Roman" w:hAnsi="Times New Roman" w:eastAsia="宋体"/>
          <w:color w:val="auto"/>
          <w:sz w:val="24"/>
          <w:szCs w:val="24"/>
          <w:highlight w:val="none"/>
        </w:rPr>
        <w:t>文</w:t>
      </w:r>
      <w:r>
        <w:rPr>
          <w:rFonts w:ascii="Times New Roman" w:hAnsi="Times New Roman" w:eastAsia="宋体"/>
          <w:color w:val="auto"/>
          <w:sz w:val="24"/>
          <w:szCs w:val="24"/>
          <w:highlight w:val="none"/>
        </w:rPr>
        <w:t>对该项目进行了批复。</w:t>
      </w:r>
      <w:r>
        <w:rPr>
          <w:rFonts w:hint="eastAsia"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9</w:t>
      </w:r>
      <w:r>
        <w:rPr>
          <w:rFonts w:hint="eastAsia"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聊城骐程新材料科技有限公司</w:t>
      </w:r>
      <w:r>
        <w:rPr>
          <w:rFonts w:hint="eastAsia"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山东玖玺环保科技有限公司</w:t>
      </w:r>
      <w:r>
        <w:rPr>
          <w:rFonts w:hint="eastAsia" w:ascii="Times New Roman" w:hAnsi="Times New Roman" w:eastAsia="宋体"/>
          <w:color w:val="auto"/>
          <w:sz w:val="24"/>
          <w:szCs w:val="24"/>
          <w:highlight w:val="none"/>
        </w:rPr>
        <w:t>对</w:t>
      </w:r>
      <w:r>
        <w:rPr>
          <w:rFonts w:hint="eastAsia" w:ascii="Times New Roman" w:hAnsi="Times New Roman" w:eastAsia="宋体"/>
          <w:color w:val="auto"/>
          <w:sz w:val="24"/>
          <w:szCs w:val="24"/>
          <w:highlight w:val="none"/>
          <w:lang w:eastAsia="zh-CN"/>
        </w:rPr>
        <w:t>聊城骐程新材料科技有限公司年加工食品包装盒3000吨及食品包装袋2000吨项目（</w:t>
      </w:r>
      <w:r>
        <w:rPr>
          <w:rFonts w:hint="eastAsia" w:ascii="Times New Roman" w:hAnsi="Times New Roman" w:eastAsia="宋体" w:cs="Times New Roman"/>
          <w:color w:val="auto"/>
          <w:sz w:val="24"/>
          <w:szCs w:val="24"/>
          <w:highlight w:val="none"/>
          <w:lang w:eastAsia="zh-CN"/>
        </w:rPr>
        <w:t>一期：</w:t>
      </w:r>
      <w:r>
        <w:rPr>
          <w:rFonts w:hint="eastAsia" w:ascii="Times New Roman" w:hAnsi="Times New Roman" w:eastAsia="宋体"/>
          <w:color w:val="auto"/>
          <w:sz w:val="24"/>
          <w:szCs w:val="24"/>
          <w:highlight w:val="none"/>
          <w:lang w:eastAsia="zh-CN"/>
        </w:rPr>
        <w:t>年加工食品包装盒</w:t>
      </w:r>
      <w:r>
        <w:rPr>
          <w:rFonts w:hint="eastAsia" w:ascii="Times New Roman" w:hAnsi="Times New Roman" w:eastAsia="宋体"/>
          <w:color w:val="auto"/>
          <w:sz w:val="24"/>
          <w:szCs w:val="24"/>
          <w:highlight w:val="none"/>
          <w:lang w:val="en-US" w:eastAsia="zh-CN"/>
        </w:rPr>
        <w:t>1500</w:t>
      </w:r>
      <w:r>
        <w:rPr>
          <w:rFonts w:hint="eastAsia" w:ascii="Times New Roman" w:hAnsi="Times New Roman" w:eastAsia="宋体"/>
          <w:color w:val="auto"/>
          <w:sz w:val="24"/>
          <w:szCs w:val="24"/>
          <w:highlight w:val="none"/>
          <w:lang w:eastAsia="zh-CN"/>
        </w:rPr>
        <w:t>吨）</w:t>
      </w:r>
      <w:r>
        <w:rPr>
          <w:rFonts w:hint="eastAsia" w:ascii="Times New Roman" w:hAnsi="Times New Roman" w:eastAsia="宋体"/>
          <w:color w:val="auto"/>
          <w:sz w:val="24"/>
          <w:szCs w:val="24"/>
          <w:highlight w:val="none"/>
        </w:rPr>
        <w:t>进行自主验收。</w:t>
      </w:r>
    </w:p>
    <w:p w14:paraId="3CB5875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eastAsia="宋体" w:cs="Times New Roman"/>
          <w:color w:val="auto"/>
          <w:sz w:val="24"/>
          <w:szCs w:val="24"/>
          <w:highlight w:val="none"/>
          <w:lang w:val="en-US" w:eastAsia="zh-CN"/>
        </w:rPr>
        <w:t>2024年9月，</w:t>
      </w:r>
      <w:r>
        <w:rPr>
          <w:rFonts w:hint="eastAsia" w:ascii="Times New Roman" w:hAnsi="Times New Roman" w:eastAsia="宋体" w:cs="Times New Roman"/>
          <w:color w:val="auto"/>
          <w:sz w:val="24"/>
          <w:szCs w:val="24"/>
          <w:highlight w:val="none"/>
          <w:lang w:eastAsia="zh-CN"/>
        </w:rPr>
        <w:t>聊城骐程新材料科技有限公司</w:t>
      </w:r>
      <w:r>
        <w:rPr>
          <w:rFonts w:ascii="Times New Roman" w:hAnsi="Times New Roman" w:eastAsia="宋体" w:cs="Times New Roman"/>
          <w:color w:val="auto"/>
          <w:sz w:val="24"/>
          <w:szCs w:val="24"/>
          <w:highlight w:val="none"/>
        </w:rPr>
        <w:t>委托</w:t>
      </w:r>
      <w:r>
        <w:rPr>
          <w:rFonts w:hint="eastAsia" w:ascii="Times New Roman" w:hAnsi="Times New Roman" w:eastAsia="宋体" w:cs="Times New Roman"/>
          <w:color w:val="auto"/>
          <w:sz w:val="24"/>
          <w:szCs w:val="24"/>
          <w:highlight w:val="none"/>
          <w:lang w:eastAsia="zh-CN"/>
        </w:rPr>
        <w:t>山东玖玺环保科技有限公司</w:t>
      </w:r>
      <w:r>
        <w:rPr>
          <w:rFonts w:ascii="Times New Roman" w:hAnsi="Times New Roman" w:eastAsia="宋体" w:cs="Times New Roman"/>
          <w:color w:val="auto"/>
          <w:sz w:val="24"/>
          <w:szCs w:val="24"/>
          <w:highlight w:val="none"/>
        </w:rPr>
        <w:t>于202</w:t>
      </w:r>
      <w:r>
        <w:rPr>
          <w:rFonts w:hint="eastAsia" w:ascii="Times New Roman" w:hAnsi="Times New Roman" w:eastAsia="宋体"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9</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2</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9</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3日</w:t>
      </w:r>
      <w:r>
        <w:rPr>
          <w:rFonts w:ascii="Times New Roman" w:hAnsi="Times New Roman" w:eastAsia="宋体" w:cs="Times New Roman"/>
          <w:color w:val="auto"/>
          <w:sz w:val="24"/>
          <w:szCs w:val="24"/>
          <w:highlight w:val="none"/>
        </w:rPr>
        <w:t>对</w:t>
      </w:r>
      <w:r>
        <w:rPr>
          <w:rFonts w:hint="eastAsia" w:ascii="Times New Roman" w:hAnsi="Times New Roman" w:eastAsia="宋体" w:cs="Times New Roman"/>
          <w:color w:val="auto"/>
          <w:sz w:val="24"/>
          <w:szCs w:val="24"/>
          <w:highlight w:val="none"/>
          <w:lang w:eastAsia="zh-CN"/>
        </w:rPr>
        <w:t>聊城骐程新材料科技有限公司年加工食品包装盒3000吨及食品包装袋2000吨项目（一期：</w:t>
      </w:r>
      <w:r>
        <w:rPr>
          <w:rFonts w:hint="eastAsia" w:ascii="Times New Roman" w:hAnsi="Times New Roman" w:eastAsia="宋体"/>
          <w:color w:val="auto"/>
          <w:sz w:val="24"/>
          <w:szCs w:val="24"/>
          <w:highlight w:val="none"/>
          <w:lang w:eastAsia="zh-CN"/>
        </w:rPr>
        <w:t>年加工食品包装盒</w:t>
      </w:r>
      <w:r>
        <w:rPr>
          <w:rFonts w:hint="eastAsia" w:ascii="Times New Roman" w:hAnsi="Times New Roman" w:eastAsia="宋体"/>
          <w:color w:val="auto"/>
          <w:sz w:val="24"/>
          <w:szCs w:val="24"/>
          <w:highlight w:val="none"/>
          <w:lang w:val="en-US" w:eastAsia="zh-CN"/>
        </w:rPr>
        <w:t>1500</w:t>
      </w:r>
      <w:r>
        <w:rPr>
          <w:rFonts w:hint="eastAsia" w:ascii="Times New Roman" w:hAnsi="Times New Roman" w:eastAsia="宋体"/>
          <w:color w:val="auto"/>
          <w:sz w:val="24"/>
          <w:szCs w:val="24"/>
          <w:highlight w:val="none"/>
          <w:lang w:eastAsia="zh-CN"/>
        </w:rPr>
        <w:t>吨</w:t>
      </w:r>
      <w:r>
        <w:rPr>
          <w:rFonts w:hint="eastAsia" w:ascii="Times New Roman" w:hAnsi="Times New Roman" w:eastAsia="宋体" w:cs="Times New Roman"/>
          <w:color w:val="auto"/>
          <w:sz w:val="24"/>
          <w:szCs w:val="24"/>
          <w:highlight w:val="none"/>
          <w:lang w:eastAsia="zh-CN"/>
        </w:rPr>
        <w:t>）</w:t>
      </w:r>
      <w:r>
        <w:rPr>
          <w:rFonts w:ascii="Times New Roman" w:hAnsi="Times New Roman" w:eastAsia="宋体" w:cs="Times New Roman"/>
          <w:color w:val="auto"/>
          <w:sz w:val="24"/>
          <w:szCs w:val="24"/>
          <w:highlight w:val="none"/>
        </w:rPr>
        <w:t>进行了验收检测。后对检测数据进行分析论证，在此基础上完成了项目竣工环境保护验收监测报告表的编制。</w:t>
      </w:r>
      <w:r>
        <w:rPr>
          <w:rFonts w:hint="eastAsia" w:ascii="Times New Roman" w:hAnsi="Times New Roman" w:eastAsia="宋体" w:cs="Times New Roman"/>
          <w:color w:val="auto"/>
          <w:sz w:val="24"/>
          <w:szCs w:val="24"/>
          <w:highlight w:val="none"/>
          <w:lang w:eastAsia="zh-CN"/>
        </w:rPr>
        <w:t>本次项目验收范围为</w:t>
      </w:r>
      <w:r>
        <w:rPr>
          <w:rFonts w:hint="eastAsia" w:ascii="Times New Roman" w:hAnsi="Times New Roman" w:eastAsia="宋体"/>
          <w:color w:val="auto"/>
          <w:sz w:val="24"/>
          <w:szCs w:val="24"/>
          <w:highlight w:val="none"/>
          <w:lang w:eastAsia="zh-CN"/>
        </w:rPr>
        <w:t>聊城骐程新材料科技有限公司</w:t>
      </w:r>
      <w:r>
        <w:rPr>
          <w:rFonts w:hint="eastAsia" w:ascii="Times New Roman" w:hAnsi="Times New Roman" w:eastAsia="宋体" w:cs="Times New Roman"/>
          <w:color w:val="auto"/>
          <w:sz w:val="24"/>
          <w:szCs w:val="24"/>
          <w:highlight w:val="none"/>
          <w:lang w:eastAsia="zh-CN"/>
        </w:rPr>
        <w:t>年加工食品包装盒3000吨及食品包装袋2000吨</w:t>
      </w:r>
      <w:r>
        <w:rPr>
          <w:rFonts w:hint="eastAsia" w:ascii="Times New Roman" w:hAnsi="Times New Roman" w:eastAsia="宋体" w:cs="Times New Roman"/>
          <w:color w:val="auto"/>
          <w:sz w:val="24"/>
          <w:szCs w:val="24"/>
          <w:highlight w:val="none"/>
          <w:lang w:val="en-US" w:eastAsia="zh-CN"/>
        </w:rPr>
        <w:t>工程项目</w:t>
      </w:r>
      <w:r>
        <w:rPr>
          <w:rFonts w:hint="eastAsia" w:ascii="Times New Roman" w:hAnsi="Times New Roman" w:eastAsia="宋体" w:cs="Times New Roman"/>
          <w:color w:val="auto"/>
          <w:sz w:val="24"/>
          <w:szCs w:val="24"/>
          <w:highlight w:val="none"/>
          <w:lang w:eastAsia="zh-CN"/>
        </w:rPr>
        <w:t>（一期：</w:t>
      </w:r>
      <w:r>
        <w:rPr>
          <w:rFonts w:hint="eastAsia" w:ascii="Times New Roman" w:hAnsi="Times New Roman" w:eastAsia="宋体"/>
          <w:color w:val="auto"/>
          <w:sz w:val="24"/>
          <w:szCs w:val="24"/>
          <w:highlight w:val="none"/>
          <w:lang w:eastAsia="zh-CN"/>
        </w:rPr>
        <w:t>年加工食品包装盒</w:t>
      </w:r>
      <w:r>
        <w:rPr>
          <w:rFonts w:hint="eastAsia" w:ascii="Times New Roman" w:hAnsi="Times New Roman" w:eastAsia="宋体"/>
          <w:color w:val="auto"/>
          <w:sz w:val="24"/>
          <w:szCs w:val="24"/>
          <w:highlight w:val="none"/>
          <w:lang w:val="en-US" w:eastAsia="zh-CN"/>
        </w:rPr>
        <w:t>1500</w:t>
      </w:r>
      <w:r>
        <w:rPr>
          <w:rFonts w:hint="eastAsia" w:ascii="Times New Roman" w:hAnsi="Times New Roman" w:eastAsia="宋体"/>
          <w:color w:val="auto"/>
          <w:sz w:val="24"/>
          <w:szCs w:val="24"/>
          <w:highlight w:val="none"/>
          <w:lang w:eastAsia="zh-CN"/>
        </w:rPr>
        <w:t>吨</w:t>
      </w:r>
      <w:r>
        <w:rPr>
          <w:rFonts w:hint="eastAsia" w:ascii="Times New Roman" w:hAnsi="Times New Roman" w:eastAsia="宋体" w:cs="Times New Roman"/>
          <w:color w:val="auto"/>
          <w:sz w:val="24"/>
          <w:szCs w:val="24"/>
          <w:highlight w:val="none"/>
          <w:lang w:eastAsia="zh-CN"/>
        </w:rPr>
        <w:t>）。</w:t>
      </w:r>
    </w:p>
    <w:p w14:paraId="4091CD8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验收结论为：聊城骐程新材料科技有限公司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w:t>
      </w:r>
      <w:r>
        <w:rPr>
          <w:rFonts w:hint="eastAsia" w:ascii="Times New Roman" w:hAnsi="Times New Roman" w:cs="Times New Roman" w:eastAsiaTheme="minorEastAsia"/>
          <w:sz w:val="24"/>
          <w:szCs w:val="24"/>
          <w:highlight w:val="none"/>
          <w:lang w:val="en-US" w:eastAsia="zh-CN"/>
        </w:rPr>
        <w:t>，于2024年9月8日</w:t>
      </w:r>
      <w:r>
        <w:rPr>
          <w:rFonts w:hint="eastAsia" w:ascii="Times New Roman" w:hAnsi="Times New Roman" w:cs="Times New Roman" w:eastAsiaTheme="minorEastAsia"/>
          <w:sz w:val="24"/>
          <w:szCs w:val="24"/>
          <w:lang w:val="en-US" w:eastAsia="zh-CN"/>
        </w:rPr>
        <w:t>验收工作组原则上同意该项目环保设施通过环保验收。</w:t>
      </w:r>
    </w:p>
    <w:p w14:paraId="003C7925">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14:paraId="2D40CC8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14:paraId="014EB9B3">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14:paraId="786013C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14:paraId="740D5DD3">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14:paraId="4C04199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（1）环保组织机构及规章制度</w:t>
      </w:r>
    </w:p>
    <w:p w14:paraId="3BAED4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本公司己建立环保组织机构及规章制度。本公司成立了环境保护工作组</w:t>
      </w:r>
      <w:r>
        <w:rPr>
          <w:rFonts w:hint="eastAsia" w:ascii="Times New Roman" w:hAnsi="Times New Roman" w:cs="Times New Roman" w:eastAsiaTheme="minorEastAsia"/>
          <w:sz w:val="24"/>
          <w:szCs w:val="24"/>
          <w:lang w:val="en-US" w:eastAsia="zh-CN"/>
        </w:rPr>
        <w:t>：</w:t>
      </w:r>
    </w:p>
    <w:p w14:paraId="51DD8F2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负责企业环保全面工作，是企业环保的第一责任人。</w:t>
      </w:r>
    </w:p>
    <w:p w14:paraId="6F7540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副组长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14:paraId="4F3869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本公司针对各项环保设施制订了运行维护管理制度、设施操作规程。</w:t>
      </w:r>
    </w:p>
    <w:p w14:paraId="497DC68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（2）环境风险防范措施</w:t>
      </w:r>
    </w:p>
    <w:p w14:paraId="150A796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①严格按照有关建筑防火规范和《爆炸危险环境电力装置设计规范》进行设计；加大宣传教育力度，增强工作人员的整体消防安全意识。参加社会消防安全知识培训，提高广大职工的消防安全意识，使其掌握防火、灭火、逃生的基础知识；规范生产，设置专门的库房，把生产区与储存区、成品区分开；制定安全生产管理制度，严禁厂区吸烟和使用明火。电线必须穿管敷设，禁止临时随意拉接。车间内须使用排气风扇，加强通风；禁止无关人员进入车间，车间内严禁堆放杂物。制定和落实消防器材检查、维护保养制度，及时更换、维修消防栓、灭火器、水带等，使其始终处于完好状态。 </w:t>
      </w:r>
    </w:p>
    <w:p w14:paraId="35CBC3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②定期检修设备，改进密封结构和加强泄漏检验以消除管道的跑冒滴漏，尽可能采用机械化、自动化先进技术，以隔绝毒物与操作人员的接触。 </w:t>
      </w:r>
    </w:p>
    <w:p w14:paraId="6E6EF19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③对于新建的储存或输送易燃性物料的设备、管道及与其接触的仪表等，根据介质的特殊性采取防泄漏措施；对泄漏严重部位的设备及管线，选用密封性高的材料。建议所有易发生泄露的场所，应设置应急气源和相应的气防检测仪器。 </w:t>
      </w:r>
    </w:p>
    <w:p w14:paraId="4E042CA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④设备结构设计、强度计算、制造、检验，严格遵循国家及行业标准规范。</w:t>
      </w:r>
    </w:p>
    <w:p w14:paraId="4FA32B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（3）环境监测计划</w:t>
      </w:r>
    </w:p>
    <w:p w14:paraId="6FB9D9A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根据环境影响报告书（表）及其审批部门审批决定要求以及《排污单位自行监测技术指南 总则》（</w:t>
      </w:r>
      <w:r>
        <w:rPr>
          <w:rFonts w:hint="default" w:ascii="Times New Roman" w:hAnsi="Times New Roman" w:cs="Times New Roman" w:eastAsiaTheme="minorEastAsia"/>
          <w:sz w:val="24"/>
          <w:szCs w:val="24"/>
          <w:lang w:val="en-US" w:eastAsia="zh-CN"/>
        </w:rPr>
        <w:t>HJ 819-2017</w:t>
      </w:r>
      <w:r>
        <w:rPr>
          <w:rFonts w:hint="eastAsia" w:ascii="Times New Roman" w:hAnsi="Times New Roman" w:cs="Times New Roman" w:eastAsiaTheme="minorEastAsia"/>
          <w:sz w:val="24"/>
          <w:szCs w:val="24"/>
          <w:lang w:val="en-US" w:eastAsia="zh-CN"/>
        </w:rPr>
        <w:t xml:space="preserve">）表 </w:t>
      </w:r>
      <w:r>
        <w:rPr>
          <w:rFonts w:hint="default" w:ascii="Times New Roman" w:hAnsi="Times New Roman" w:cs="Times New Roman" w:eastAsiaTheme="minorEastAsia"/>
          <w:sz w:val="24"/>
          <w:szCs w:val="24"/>
          <w:lang w:val="en-US" w:eastAsia="zh-CN"/>
        </w:rPr>
        <w:t xml:space="preserve">1 </w:t>
      </w:r>
      <w:r>
        <w:rPr>
          <w:rFonts w:hint="eastAsia" w:ascii="Times New Roman" w:hAnsi="Times New Roman" w:cs="Times New Roman" w:eastAsiaTheme="minorEastAsia"/>
          <w:sz w:val="24"/>
          <w:szCs w:val="24"/>
          <w:lang w:val="en-US" w:eastAsia="zh-CN"/>
        </w:rPr>
        <w:t xml:space="preserve">非重点排污单位、其他排放口的监测指标自行监测要求，本项目自行监测计划见下表： </w:t>
      </w:r>
    </w:p>
    <w:p w14:paraId="3D4B533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pPr>
      <w:r>
        <w:rPr>
          <w:rFonts w:hint="eastAsia" w:ascii="宋体" w:hAnsi="宋体" w:eastAsia="宋体" w:cs="宋体"/>
          <w:b/>
          <w:bCs/>
          <w:color w:val="000000"/>
          <w:kern w:val="0"/>
          <w:sz w:val="24"/>
          <w:szCs w:val="24"/>
          <w:lang w:val="en-US" w:eastAsia="zh-CN" w:bidi="ar"/>
        </w:rPr>
        <w:t>项目自行监测计划一览表</w:t>
      </w:r>
    </w:p>
    <w:tbl>
      <w:tblPr>
        <w:tblStyle w:val="20"/>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30"/>
        <w:gridCol w:w="1712"/>
        <w:gridCol w:w="2171"/>
        <w:gridCol w:w="2172"/>
      </w:tblGrid>
      <w:tr w14:paraId="27100B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tcBorders>
              <w:tl2br w:val="nil"/>
              <w:tr2bl w:val="nil"/>
            </w:tcBorders>
            <w:vAlign w:val="center"/>
          </w:tcPr>
          <w:p w14:paraId="080CABE8">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监测点位</w:t>
            </w:r>
          </w:p>
        </w:tc>
        <w:tc>
          <w:tcPr>
            <w:tcW w:w="1712" w:type="dxa"/>
            <w:tcBorders>
              <w:tl2br w:val="nil"/>
              <w:tr2bl w:val="nil"/>
            </w:tcBorders>
            <w:vAlign w:val="center"/>
          </w:tcPr>
          <w:p w14:paraId="4D336C44">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检测因子</w:t>
            </w:r>
          </w:p>
        </w:tc>
        <w:tc>
          <w:tcPr>
            <w:tcW w:w="2171" w:type="dxa"/>
            <w:tcBorders>
              <w:tl2br w:val="nil"/>
              <w:tr2bl w:val="nil"/>
            </w:tcBorders>
            <w:vAlign w:val="center"/>
          </w:tcPr>
          <w:p w14:paraId="63D99067">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监测频次</w:t>
            </w:r>
          </w:p>
        </w:tc>
        <w:tc>
          <w:tcPr>
            <w:tcW w:w="2172" w:type="dxa"/>
            <w:tcBorders>
              <w:tl2br w:val="nil"/>
              <w:tr2bl w:val="nil"/>
            </w:tcBorders>
            <w:vAlign w:val="center"/>
          </w:tcPr>
          <w:p w14:paraId="4B3F832A">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备注</w:t>
            </w:r>
          </w:p>
        </w:tc>
      </w:tr>
      <w:tr w14:paraId="312C9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tcBorders>
              <w:tl2br w:val="nil"/>
              <w:tr2bl w:val="nil"/>
            </w:tcBorders>
            <w:vAlign w:val="center"/>
          </w:tcPr>
          <w:p w14:paraId="578A26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DA001</w:t>
            </w:r>
          </w:p>
        </w:tc>
        <w:tc>
          <w:tcPr>
            <w:tcW w:w="1712" w:type="dxa"/>
            <w:tcBorders>
              <w:tl2br w:val="nil"/>
              <w:tr2bl w:val="nil"/>
            </w:tcBorders>
            <w:vAlign w:val="center"/>
          </w:tcPr>
          <w:p w14:paraId="227707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VOCs</w:t>
            </w:r>
          </w:p>
        </w:tc>
        <w:tc>
          <w:tcPr>
            <w:tcW w:w="2171" w:type="dxa"/>
            <w:tcBorders>
              <w:tl2br w:val="nil"/>
              <w:tr2bl w:val="nil"/>
            </w:tcBorders>
            <w:vAlign w:val="center"/>
          </w:tcPr>
          <w:p w14:paraId="5BAD22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1次/年</w:t>
            </w:r>
          </w:p>
        </w:tc>
        <w:tc>
          <w:tcPr>
            <w:tcW w:w="2172" w:type="dxa"/>
            <w:tcBorders>
              <w:tl2br w:val="nil"/>
              <w:tr2bl w:val="nil"/>
            </w:tcBorders>
            <w:vAlign w:val="center"/>
          </w:tcPr>
          <w:p w14:paraId="67FEE0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14:paraId="267D3C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restart"/>
            <w:tcBorders>
              <w:tl2br w:val="nil"/>
              <w:tr2bl w:val="nil"/>
            </w:tcBorders>
            <w:vAlign w:val="center"/>
          </w:tcPr>
          <w:p w14:paraId="4F3C04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r>
              <w:rPr>
                <w:rStyle w:val="38"/>
                <w:rFonts w:hint="eastAsia" w:ascii="Times New Roman" w:hAnsi="Times New Roman" w:cs="Times New Roman"/>
                <w:sz w:val="24"/>
                <w:lang w:val="en-US" w:eastAsia="zh-CN"/>
              </w:rPr>
              <w:t>厂界</w:t>
            </w:r>
          </w:p>
        </w:tc>
        <w:tc>
          <w:tcPr>
            <w:tcW w:w="1712" w:type="dxa"/>
            <w:tcBorders>
              <w:tl2br w:val="nil"/>
              <w:tr2bl w:val="nil"/>
            </w:tcBorders>
            <w:vAlign w:val="center"/>
          </w:tcPr>
          <w:p w14:paraId="7DE25B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VOCs</w:t>
            </w:r>
          </w:p>
        </w:tc>
        <w:tc>
          <w:tcPr>
            <w:tcW w:w="2171" w:type="dxa"/>
            <w:tcBorders>
              <w:tl2br w:val="nil"/>
              <w:tr2bl w:val="nil"/>
            </w:tcBorders>
            <w:vAlign w:val="center"/>
          </w:tcPr>
          <w:p w14:paraId="3CFCC3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1次/半年</w:t>
            </w:r>
          </w:p>
        </w:tc>
        <w:tc>
          <w:tcPr>
            <w:tcW w:w="2172" w:type="dxa"/>
            <w:tcBorders>
              <w:tl2br w:val="nil"/>
              <w:tr2bl w:val="nil"/>
            </w:tcBorders>
            <w:vAlign w:val="center"/>
          </w:tcPr>
          <w:p w14:paraId="6B373D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14:paraId="31B9E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continue"/>
            <w:tcBorders>
              <w:tl2br w:val="nil"/>
              <w:tr2bl w:val="nil"/>
            </w:tcBorders>
            <w:vAlign w:val="center"/>
          </w:tcPr>
          <w:p w14:paraId="24E487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p>
        </w:tc>
        <w:tc>
          <w:tcPr>
            <w:tcW w:w="1712" w:type="dxa"/>
            <w:tcBorders>
              <w:tl2br w:val="nil"/>
              <w:tr2bl w:val="nil"/>
            </w:tcBorders>
            <w:vAlign w:val="center"/>
          </w:tcPr>
          <w:p w14:paraId="103754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cs="Times New Roman"/>
                <w:sz w:val="24"/>
                <w:lang w:val="en-US" w:eastAsia="zh-CN"/>
              </w:rPr>
            </w:pPr>
            <w:r>
              <w:rPr>
                <w:rStyle w:val="38"/>
                <w:rFonts w:hint="eastAsia" w:ascii="Times New Roman" w:hAnsi="Times New Roman" w:cs="Times New Roman"/>
                <w:sz w:val="24"/>
                <w:lang w:val="en-US" w:eastAsia="zh-CN"/>
              </w:rPr>
              <w:t>噪声</w:t>
            </w:r>
          </w:p>
          <w:p w14:paraId="2EC5CB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default" w:ascii="Times New Roman" w:hAnsi="Times New Roman" w:eastAsia="宋体" w:cs="Times New Roman"/>
                <w:sz w:val="24"/>
                <w:lang w:val="en-US" w:eastAsia="zh-CN"/>
              </w:rPr>
            </w:pPr>
            <w:r>
              <w:rPr>
                <w:rStyle w:val="38"/>
                <w:rFonts w:hint="default" w:ascii="Times New Roman" w:hAnsi="Times New Roman" w:eastAsia="宋体" w:cs="Times New Roman"/>
                <w:sz w:val="24"/>
                <w:lang w:val="en-US" w:eastAsia="zh-CN"/>
              </w:rPr>
              <w:t>LeqdB</w:t>
            </w:r>
            <w:r>
              <w:rPr>
                <w:rStyle w:val="38"/>
                <w:rFonts w:hint="eastAsia" w:ascii="Times New Roman" w:hAnsi="Times New Roman" w:eastAsia="宋体" w:cs="Times New Roman"/>
                <w:sz w:val="24"/>
                <w:lang w:val="en-US" w:eastAsia="zh-CN"/>
              </w:rPr>
              <w:t>（</w:t>
            </w:r>
            <w:r>
              <w:rPr>
                <w:rStyle w:val="38"/>
                <w:rFonts w:hint="default" w:ascii="Times New Roman" w:hAnsi="Times New Roman" w:eastAsia="宋体" w:cs="Times New Roman"/>
                <w:sz w:val="24"/>
                <w:lang w:val="en-US" w:eastAsia="zh-CN"/>
              </w:rPr>
              <w:t>A</w:t>
            </w:r>
            <w:r>
              <w:rPr>
                <w:rStyle w:val="38"/>
                <w:rFonts w:hint="eastAsia" w:ascii="Times New Roman" w:hAnsi="Times New Roman" w:eastAsia="宋体" w:cs="Times New Roman"/>
                <w:sz w:val="24"/>
                <w:lang w:val="en-US" w:eastAsia="zh-CN"/>
              </w:rPr>
              <w:t>）</w:t>
            </w:r>
          </w:p>
        </w:tc>
        <w:tc>
          <w:tcPr>
            <w:tcW w:w="2171" w:type="dxa"/>
            <w:tcBorders>
              <w:tl2br w:val="nil"/>
              <w:tr2bl w:val="nil"/>
            </w:tcBorders>
            <w:shd w:val="clear" w:color="auto" w:fill="auto"/>
            <w:vAlign w:val="center"/>
          </w:tcPr>
          <w:p w14:paraId="0A9B5B94">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eastAsiaTheme="minorEastAsia"/>
                <w:sz w:val="24"/>
                <w:szCs w:val="24"/>
                <w:vertAlign w:val="baseline"/>
                <w:lang w:val="en-US" w:eastAsia="zh-CN"/>
              </w:rPr>
              <w:t>每季度昼、夜间监测一次</w:t>
            </w:r>
          </w:p>
        </w:tc>
        <w:tc>
          <w:tcPr>
            <w:tcW w:w="2172" w:type="dxa"/>
            <w:tcBorders>
              <w:tl2br w:val="nil"/>
              <w:tr2bl w:val="nil"/>
            </w:tcBorders>
            <w:vAlign w:val="center"/>
          </w:tcPr>
          <w:p w14:paraId="0EA0EE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bl>
    <w:p w14:paraId="57E7077F">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14:paraId="197927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14:paraId="2AAEC1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本公司不涉及区域削减污染物总量措施，所有生产设备中没有需淘汰的落后产能设备。</w:t>
      </w:r>
    </w:p>
    <w:p w14:paraId="5AA4C28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14:paraId="53F4F4A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本项目卫生防护距离内无环境敏感点。</w:t>
      </w:r>
    </w:p>
    <w:p w14:paraId="1D98F9F7">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14:paraId="10B002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14:paraId="1E546A91">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14:paraId="131D59A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验收现场检查会</w:t>
      </w:r>
      <w:r>
        <w:rPr>
          <w:rFonts w:hint="eastAsia" w:ascii="Times New Roman" w:hAnsi="Times New Roman" w:cs="Times New Roman" w:eastAsiaTheme="minorEastAsia"/>
          <w:sz w:val="24"/>
          <w:szCs w:val="24"/>
          <w:lang w:val="en-US" w:eastAsia="zh-CN"/>
        </w:rPr>
        <w:t>专家提出的整改意见及整改措施如下：</w:t>
      </w:r>
    </w:p>
    <w:p w14:paraId="3F1534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14:paraId="446A86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整改/修改情况：已安排车间专门人员及时清理车间地面上撒漏的粉状物料，保持车间地面清洁，防止扬尘。</w:t>
      </w:r>
    </w:p>
    <w:p w14:paraId="5F82116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定期检查废气收集设施的运行情况，确保废气有效收集和处理；</w:t>
      </w:r>
    </w:p>
    <w:p w14:paraId="108142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w:t>
      </w:r>
      <w:r>
        <w:rPr>
          <w:rFonts w:hint="default" w:ascii="Times New Roman" w:hAnsi="Times New Roman" w:cs="Times New Roman" w:eastAsiaTheme="minorEastAsia"/>
          <w:sz w:val="24"/>
          <w:szCs w:val="24"/>
          <w:u w:val="single"/>
          <w:lang w:val="en-US" w:eastAsia="zh-CN"/>
        </w:rPr>
        <w:t>定期检查废气收集设施的运行情况，确保废气有效收集和处理</w:t>
      </w:r>
      <w:r>
        <w:rPr>
          <w:rFonts w:hint="eastAsia" w:ascii="Times New Roman" w:hAnsi="Times New Roman" w:cs="Times New Roman" w:eastAsiaTheme="minorEastAsia"/>
          <w:sz w:val="24"/>
          <w:szCs w:val="24"/>
          <w:u w:val="single"/>
          <w:lang w:val="en-US" w:eastAsia="zh-CN"/>
        </w:rPr>
        <w:t>。</w:t>
      </w:r>
    </w:p>
    <w:p w14:paraId="56DB5F9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项目运营过程中，严格执行排污许可排放标准，一般工业固废严格按照《一般工业固体废物贮存和填埋污染控制标准》（GB 18599-2020）要求执行，危险废物严格按照《危险废物贮存污染控制标准》（GB 18597-2023）要求执行。</w:t>
      </w:r>
    </w:p>
    <w:p w14:paraId="3245DA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项目运营过程中，严格执行排污许可排放标准，一般工业固废严格按照《一般工业固体废物贮存和填埋污染控制标准》（GB 18599-2020）要求执行，危险废物严格按照《危险废物贮存污染控制标准》（GB 18597-2023）要求执行。</w:t>
      </w:r>
    </w:p>
    <w:p w14:paraId="70AD31C2">
      <w:pPr>
        <w:rPr>
          <w:rFonts w:hint="default"/>
          <w:lang w:val="en-US" w:eastAsia="zh-CN"/>
        </w:rPr>
      </w:pP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496D06CD">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14:paraId="7F13048E">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NzFmZWMwZDI3YzY5MTEzZGE2YjM4OTNkM2M5N2U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31C7A2E"/>
    <w:rsid w:val="053F0C01"/>
    <w:rsid w:val="06D25F48"/>
    <w:rsid w:val="08981135"/>
    <w:rsid w:val="08AC6127"/>
    <w:rsid w:val="091C06D8"/>
    <w:rsid w:val="0ADB5E7A"/>
    <w:rsid w:val="0B472137"/>
    <w:rsid w:val="0C8223EB"/>
    <w:rsid w:val="0D0001DD"/>
    <w:rsid w:val="11625F1D"/>
    <w:rsid w:val="140B7F29"/>
    <w:rsid w:val="141B57BA"/>
    <w:rsid w:val="16154F53"/>
    <w:rsid w:val="16C15CF6"/>
    <w:rsid w:val="17B71A49"/>
    <w:rsid w:val="182F2017"/>
    <w:rsid w:val="199155F1"/>
    <w:rsid w:val="19A12421"/>
    <w:rsid w:val="1A2A15A2"/>
    <w:rsid w:val="1AAE2376"/>
    <w:rsid w:val="1B1851B0"/>
    <w:rsid w:val="1C0D1583"/>
    <w:rsid w:val="1F7E33E3"/>
    <w:rsid w:val="20C33720"/>
    <w:rsid w:val="20FF1092"/>
    <w:rsid w:val="218C6A2F"/>
    <w:rsid w:val="22B36145"/>
    <w:rsid w:val="24657C98"/>
    <w:rsid w:val="24C100AF"/>
    <w:rsid w:val="26F95E73"/>
    <w:rsid w:val="270B5883"/>
    <w:rsid w:val="288C09DE"/>
    <w:rsid w:val="2ABB7EB6"/>
    <w:rsid w:val="2F1728B1"/>
    <w:rsid w:val="30674F5B"/>
    <w:rsid w:val="321E3342"/>
    <w:rsid w:val="352B1605"/>
    <w:rsid w:val="35475771"/>
    <w:rsid w:val="39DE1D35"/>
    <w:rsid w:val="3BD50FCD"/>
    <w:rsid w:val="3CEE1750"/>
    <w:rsid w:val="42A64878"/>
    <w:rsid w:val="446F2B9F"/>
    <w:rsid w:val="44756DC2"/>
    <w:rsid w:val="44CD1674"/>
    <w:rsid w:val="452C453B"/>
    <w:rsid w:val="47692945"/>
    <w:rsid w:val="478466B3"/>
    <w:rsid w:val="4D5558B4"/>
    <w:rsid w:val="4E751289"/>
    <w:rsid w:val="4EF37070"/>
    <w:rsid w:val="4F771122"/>
    <w:rsid w:val="502328A6"/>
    <w:rsid w:val="518A07B0"/>
    <w:rsid w:val="52B018E5"/>
    <w:rsid w:val="536E48F6"/>
    <w:rsid w:val="53DD36D8"/>
    <w:rsid w:val="54E91C64"/>
    <w:rsid w:val="54EE0658"/>
    <w:rsid w:val="550429A6"/>
    <w:rsid w:val="554373C5"/>
    <w:rsid w:val="562954F0"/>
    <w:rsid w:val="585C23C8"/>
    <w:rsid w:val="58831FCD"/>
    <w:rsid w:val="5A0C3D15"/>
    <w:rsid w:val="5C084E7C"/>
    <w:rsid w:val="5DEA664B"/>
    <w:rsid w:val="5F9C768C"/>
    <w:rsid w:val="60A878DC"/>
    <w:rsid w:val="60B82B42"/>
    <w:rsid w:val="62536A85"/>
    <w:rsid w:val="63AE1EC8"/>
    <w:rsid w:val="641B4FF7"/>
    <w:rsid w:val="649460BF"/>
    <w:rsid w:val="64E04972"/>
    <w:rsid w:val="68D4001D"/>
    <w:rsid w:val="6A4662AD"/>
    <w:rsid w:val="6A7038C2"/>
    <w:rsid w:val="6AAE1741"/>
    <w:rsid w:val="6C9227DE"/>
    <w:rsid w:val="6F5F79E8"/>
    <w:rsid w:val="70904E30"/>
    <w:rsid w:val="71BE777B"/>
    <w:rsid w:val="741E1955"/>
    <w:rsid w:val="75926377"/>
    <w:rsid w:val="75CC31FA"/>
    <w:rsid w:val="7696248B"/>
    <w:rsid w:val="76A35191"/>
    <w:rsid w:val="79425628"/>
    <w:rsid w:val="7A7F09A7"/>
    <w:rsid w:val="7ACF34CF"/>
    <w:rsid w:val="7B910714"/>
    <w:rsid w:val="7C2D2E8E"/>
    <w:rsid w:val="7CC72557"/>
    <w:rsid w:val="7D422132"/>
    <w:rsid w:val="7E784B20"/>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5">
    <w:name w:val="heading 2"/>
    <w:basedOn w:val="1"/>
    <w:next w:val="1"/>
    <w:autoRedefine/>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next w:val="1"/>
    <w:autoRedefine/>
    <w:qFormat/>
    <w:uiPriority w:val="0"/>
    <w:rPr>
      <w:rFonts w:ascii="宋体" w:hAnsi="Courier New"/>
    </w:rPr>
  </w:style>
  <w:style w:type="paragraph" w:styleId="6">
    <w:name w:val="annotation text"/>
    <w:basedOn w:val="1"/>
    <w:link w:val="33"/>
    <w:autoRedefine/>
    <w:qFormat/>
    <w:uiPriority w:val="0"/>
    <w:pPr>
      <w:jc w:val="left"/>
    </w:pPr>
    <w:rPr>
      <w:rFonts w:ascii="Times New Roman" w:hAnsi="Times New Roman"/>
      <w:szCs w:val="20"/>
    </w:rPr>
  </w:style>
  <w:style w:type="paragraph" w:styleId="7">
    <w:name w:val="Body Text"/>
    <w:basedOn w:val="1"/>
    <w:next w:val="8"/>
    <w:link w:val="31"/>
    <w:qFormat/>
    <w:uiPriority w:val="0"/>
    <w:pPr>
      <w:spacing w:after="120"/>
    </w:pPr>
    <w:rPr>
      <w:rFonts w:ascii="Times New Roman" w:hAnsi="Times New Roman"/>
      <w:szCs w:val="20"/>
    </w:rPr>
  </w:style>
  <w:style w:type="paragraph" w:styleId="8">
    <w:name w:val="Date"/>
    <w:basedOn w:val="1"/>
    <w:next w:val="1"/>
    <w:qFormat/>
    <w:uiPriority w:val="0"/>
    <w:pPr>
      <w:ind w:left="100" w:leftChars="2500"/>
    </w:pPr>
    <w:rPr>
      <w:rFonts w:ascii="Times New Roman" w:hAnsi="Times New Roman" w:eastAsia="宋体" w:cs="Times New Roman"/>
      <w:kern w:val="0"/>
      <w:sz w:val="24"/>
      <w:szCs w:val="20"/>
    </w:rPr>
  </w:style>
  <w:style w:type="paragraph" w:styleId="9">
    <w:name w:val="Body Text Indent"/>
    <w:basedOn w:val="1"/>
    <w:next w:val="10"/>
    <w:autoRedefine/>
    <w:unhideWhenUsed/>
    <w:qFormat/>
    <w:uiPriority w:val="99"/>
    <w:pPr>
      <w:ind w:left="420" w:leftChars="200"/>
    </w:pPr>
  </w:style>
  <w:style w:type="paragraph" w:customStyle="1" w:styleId="10">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11">
    <w:name w:val="Plain Text"/>
    <w:basedOn w:val="1"/>
    <w:next w:val="9"/>
    <w:autoRedefine/>
    <w:qFormat/>
    <w:uiPriority w:val="0"/>
    <w:rPr>
      <w:rFonts w:ascii="宋体" w:hAnsi="Courier New" w:cs="Courier New"/>
      <w:szCs w:val="21"/>
    </w:rPr>
  </w:style>
  <w:style w:type="paragraph" w:styleId="12">
    <w:name w:val="Balloon Text"/>
    <w:basedOn w:val="1"/>
    <w:link w:val="27"/>
    <w:autoRedefine/>
    <w:semiHidden/>
    <w:unhideWhenUsed/>
    <w:qFormat/>
    <w:uiPriority w:val="99"/>
    <w:rPr>
      <w:sz w:val="18"/>
      <w:szCs w:val="18"/>
    </w:rPr>
  </w:style>
  <w:style w:type="paragraph" w:styleId="13">
    <w:name w:val="footer"/>
    <w:basedOn w:val="1"/>
    <w:link w:val="26"/>
    <w:autoRedefine/>
    <w:unhideWhenUsed/>
    <w:qFormat/>
    <w:uiPriority w:val="99"/>
    <w:pPr>
      <w:tabs>
        <w:tab w:val="center" w:pos="4153"/>
        <w:tab w:val="right" w:pos="8306"/>
      </w:tabs>
      <w:snapToGrid w:val="0"/>
      <w:jc w:val="left"/>
    </w:pPr>
    <w:rPr>
      <w:sz w:val="18"/>
      <w:szCs w:val="18"/>
    </w:rPr>
  </w:style>
  <w:style w:type="paragraph" w:styleId="14">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autoRedefine/>
    <w:qFormat/>
    <w:uiPriority w:val="0"/>
    <w:pPr>
      <w:spacing w:after="120"/>
      <w:ind w:left="420" w:leftChars="200"/>
    </w:pPr>
    <w:rPr>
      <w:sz w:val="16"/>
      <w:szCs w:val="16"/>
    </w:rPr>
  </w:style>
  <w:style w:type="paragraph" w:styleId="16">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Body Text First Indent"/>
    <w:basedOn w:val="7"/>
    <w:next w:val="1"/>
    <w:qFormat/>
    <w:uiPriority w:val="0"/>
    <w:pPr>
      <w:tabs>
        <w:tab w:val="left" w:pos="0"/>
      </w:tabs>
      <w:spacing w:line="240" w:lineRule="auto"/>
      <w:ind w:firstLine="420" w:firstLineChars="100"/>
    </w:pPr>
    <w:rPr>
      <w:sz w:val="21"/>
    </w:rPr>
  </w:style>
  <w:style w:type="paragraph" w:styleId="18">
    <w:name w:val="Body Text First Indent 2"/>
    <w:basedOn w:val="9"/>
    <w:next w:val="1"/>
    <w:autoRedefine/>
    <w:qFormat/>
    <w:uiPriority w:val="0"/>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autoRedefine/>
    <w:qFormat/>
    <w:uiPriority w:val="0"/>
    <w:rPr>
      <w:sz w:val="21"/>
      <w:szCs w:val="21"/>
    </w:rPr>
  </w:style>
  <w:style w:type="paragraph" w:customStyle="1" w:styleId="23">
    <w:name w:val="报告书正文"/>
    <w:basedOn w:val="17"/>
    <w:next w:val="1"/>
    <w:autoRedefine/>
    <w:qFormat/>
    <w:uiPriority w:val="99"/>
    <w:pPr>
      <w:adjustRightInd w:val="0"/>
      <w:spacing w:line="500" w:lineRule="exact"/>
      <w:ind w:firstLine="200" w:firstLineChars="200"/>
      <w:textAlignment w:val="baseline"/>
    </w:pPr>
    <w:rPr>
      <w:bCs/>
      <w:sz w:val="24"/>
      <w:szCs w:val="20"/>
    </w:rPr>
  </w:style>
  <w:style w:type="paragraph" w:customStyle="1" w:styleId="24">
    <w:name w:val="li_正文"/>
    <w:basedOn w:val="1"/>
    <w:autoRedefine/>
    <w:qFormat/>
    <w:uiPriority w:val="0"/>
    <w:pPr>
      <w:ind w:firstLine="200" w:firstLineChars="200"/>
      <w:jc w:val="left"/>
    </w:pPr>
    <w:rPr>
      <w:sz w:val="28"/>
      <w:szCs w:val="28"/>
    </w:rPr>
  </w:style>
  <w:style w:type="character" w:customStyle="1" w:styleId="25">
    <w:name w:val="页眉 Char"/>
    <w:basedOn w:val="21"/>
    <w:link w:val="14"/>
    <w:autoRedefine/>
    <w:qFormat/>
    <w:uiPriority w:val="99"/>
    <w:rPr>
      <w:sz w:val="18"/>
      <w:szCs w:val="18"/>
    </w:rPr>
  </w:style>
  <w:style w:type="character" w:customStyle="1" w:styleId="26">
    <w:name w:val="页脚 Char"/>
    <w:basedOn w:val="21"/>
    <w:link w:val="13"/>
    <w:autoRedefine/>
    <w:qFormat/>
    <w:uiPriority w:val="99"/>
    <w:rPr>
      <w:sz w:val="18"/>
      <w:szCs w:val="18"/>
    </w:rPr>
  </w:style>
  <w:style w:type="character" w:customStyle="1" w:styleId="27">
    <w:name w:val="批注框文本 Char"/>
    <w:basedOn w:val="21"/>
    <w:link w:val="12"/>
    <w:autoRedefine/>
    <w:semiHidden/>
    <w:qFormat/>
    <w:uiPriority w:val="99"/>
    <w:rPr>
      <w:rFonts w:ascii="Calibri" w:hAnsi="Calibri" w:eastAsia="宋体" w:cs="Times New Roman"/>
      <w:kern w:val="2"/>
      <w:sz w:val="18"/>
      <w:szCs w:val="18"/>
    </w:rPr>
  </w:style>
  <w:style w:type="paragraph" w:customStyle="1" w:styleId="28">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9">
    <w:name w:val="List Paragraph"/>
    <w:basedOn w:val="1"/>
    <w:autoRedefine/>
    <w:unhideWhenUsed/>
    <w:qFormat/>
    <w:uiPriority w:val="99"/>
    <w:pPr>
      <w:ind w:firstLine="420" w:firstLineChars="200"/>
    </w:pPr>
  </w:style>
  <w:style w:type="paragraph" w:customStyle="1" w:styleId="30">
    <w:name w:val="正1"/>
    <w:basedOn w:val="1"/>
    <w:link w:val="35"/>
    <w:autoRedefine/>
    <w:qFormat/>
    <w:uiPriority w:val="0"/>
    <w:pPr>
      <w:spacing w:line="360" w:lineRule="auto"/>
      <w:ind w:firstLine="200" w:firstLineChars="200"/>
      <w:jc w:val="left"/>
    </w:pPr>
    <w:rPr>
      <w:rFonts w:eastAsia="楷体_GB2312"/>
      <w:sz w:val="24"/>
    </w:rPr>
  </w:style>
  <w:style w:type="character" w:customStyle="1" w:styleId="31">
    <w:name w:val="正文文本 Char"/>
    <w:basedOn w:val="21"/>
    <w:link w:val="7"/>
    <w:autoRedefine/>
    <w:qFormat/>
    <w:uiPriority w:val="0"/>
    <w:rPr>
      <w:kern w:val="2"/>
      <w:sz w:val="21"/>
    </w:rPr>
  </w:style>
  <w:style w:type="paragraph" w:customStyle="1" w:styleId="32">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33">
    <w:name w:val="批注文字 Char"/>
    <w:basedOn w:val="21"/>
    <w:link w:val="6"/>
    <w:autoRedefine/>
    <w:qFormat/>
    <w:uiPriority w:val="0"/>
    <w:rPr>
      <w:kern w:val="2"/>
      <w:sz w:val="21"/>
    </w:rPr>
  </w:style>
  <w:style w:type="paragraph" w:customStyle="1" w:styleId="34">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5">
    <w:name w:val="正1 Char"/>
    <w:link w:val="30"/>
    <w:autoRedefine/>
    <w:qFormat/>
    <w:uiPriority w:val="0"/>
    <w:rPr>
      <w:rFonts w:ascii="Calibri" w:hAnsi="Calibri" w:eastAsia="楷体_GB2312"/>
      <w:kern w:val="2"/>
      <w:sz w:val="24"/>
      <w:szCs w:val="24"/>
    </w:rPr>
  </w:style>
  <w:style w:type="paragraph" w:customStyle="1" w:styleId="36">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7">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8">
    <w:name w:val="NormalCharacter"/>
    <w:autoRedefine/>
    <w:semiHidden/>
    <w:qFormat/>
    <w:uiPriority w:val="0"/>
  </w:style>
  <w:style w:type="paragraph" w:customStyle="1" w:styleId="39">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40">
    <w:name w:val="样式1"/>
    <w:basedOn w:val="1"/>
    <w:autoRedefine/>
    <w:qFormat/>
    <w:uiPriority w:val="0"/>
    <w:pPr>
      <w:adjustRightInd/>
      <w:snapToGrid/>
      <w:spacing w:after="0" w:line="360" w:lineRule="auto"/>
      <w:jc w:val="center"/>
    </w:pPr>
    <w:rPr>
      <w:rFonts w:ascii="仿宋_GB2312" w:hAnsi="Times New Roman" w:eastAsia="黑体" w:cs="Times New Roman"/>
      <w:b/>
      <w:kern w:val="2"/>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2691</Words>
  <Characters>2853</Characters>
  <Lines>18</Lines>
  <Paragraphs>5</Paragraphs>
  <TotalTime>2</TotalTime>
  <ScaleCrop>false</ScaleCrop>
  <LinksUpToDate>false</LinksUpToDate>
  <CharactersWithSpaces>2884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2019-02-26T02:51:00Z</cp:lastPrinted>
  <dcterms:modified xsi:type="dcterms:W3CDTF">2024-09-14T07:42:06Z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2E48D0C303DB46B78E4AEE9DD17F89AB_13</vt:lpwstr>
  </property>
</Properties>
</file>