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18E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茌平鲁环汽车散热器有限公司汽车散热器生产改扩建项目</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32"/>
          <w:szCs w:val="32"/>
          <w:lang w:eastAsia="zh-CN"/>
        </w:rPr>
      </w:pPr>
      <w:r>
        <w:rPr>
          <w:rFonts w:hint="default" w:ascii="Times New Roman" w:hAnsi="Times New Roman" w:eastAsia="宋体" w:cs="Times New Roman"/>
          <w:b/>
          <w:bCs/>
          <w:sz w:val="28"/>
          <w:szCs w:val="28"/>
          <w:lang w:eastAsia="zh-CN"/>
        </w:rPr>
        <w:t>竣工环境保护验收其他需要说明的事项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35F263DD">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茌平鲁环汽车散热器有限公司</w:t>
      </w:r>
      <w:r>
        <w:rPr>
          <w:rFonts w:hint="eastAsia" w:ascii="Times New Roman" w:hAnsi="Times New Roman" w:eastAsia="宋体" w:cs="Times New Roman"/>
          <w:color w:val="auto"/>
          <w:sz w:val="24"/>
          <w:szCs w:val="24"/>
          <w:highlight w:val="none"/>
          <w:lang w:val="en-US" w:eastAsia="zh-CN"/>
        </w:rPr>
        <w:t>成立于2001年，位于山东省聊城市，是一家以从事汽车制造业为主的企业，位于山东茌平经济开发区，希望路北，龙山北路西，茌平鲁环汽车散热器有限公司院内。茌平鲁环汽车散热器有限公司建设汽车散热器生产改扩建项目，改扩建项目新增散热器50万台（套），中冷器生产规模不变，达到全年生产150万台（套）散热器，2万台（套）中冷器的生产能力</w:t>
      </w:r>
      <w:bookmarkStart w:id="0" w:name="_GoBack"/>
      <w:bookmarkEnd w:id="0"/>
      <w:r>
        <w:rPr>
          <w:rFonts w:hint="eastAsia" w:ascii="Times New Roman" w:hAnsi="Times New Roman" w:eastAsia="宋体" w:cs="Times New Roman"/>
          <w:color w:val="auto"/>
          <w:sz w:val="24"/>
          <w:szCs w:val="24"/>
          <w:highlight w:val="none"/>
          <w:lang w:val="en-US" w:eastAsia="zh-CN"/>
        </w:rPr>
        <w:t>。新建项目利用现有车间、厂房，不新增占地及建筑物。对“茌平鲁环汽车散热器有限公司汽车散热器生产改扩建项目项目对生产线进行数智化技术改造，打造“智能制造＋工业互联网”新生态，该项目数智化升级改造，实现机床、设备、终端生产数据的自动采集，产线全流程数字化管控与生产现场的智能化运行，可有效减少劳动力，节约劳动力成本，提升产品品质，确保安全环保生产，产生巨大的经济和社会效益。项目改造后主要原材料、产能、产品不发生变化，不新增能耗指标，且改造后的能源消费量较原有项目纳入当地能源消耗统计的数量不变，该项目符合国家产业政策。</w:t>
      </w:r>
    </w:p>
    <w:p w14:paraId="0E779E2A">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7</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茌平鲁环汽车散热器有限公司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聊城市环境科学工程设计院有限公司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茌平鲁环汽车散热器有限公司汽车散热器生产改扩建项目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8</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20</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103</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32A00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2024年11月，</w:t>
      </w:r>
      <w:r>
        <w:rPr>
          <w:rFonts w:hint="eastAsia" w:ascii="Times New Roman" w:hAnsi="Times New Roman" w:eastAsia="宋体" w:cs="Times New Roman"/>
          <w:color w:val="auto"/>
          <w:sz w:val="24"/>
          <w:szCs w:val="24"/>
          <w:highlight w:val="none"/>
          <w:lang w:eastAsia="zh-CN"/>
        </w:rPr>
        <w:t>茌平鲁环汽车散热器有限公司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05</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06、11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07</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08</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eastAsia="zh-CN"/>
        </w:rPr>
        <w:t>茌平鲁环汽车散热器有限公司汽车散热器生产改扩建项目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年增产50万台（套）散热器项目工程</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12</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茌平鲁环汽车散热器有限公司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茌平鲁环汽车散热器有限公司汽车散热器生产改扩建项目</w:t>
      </w:r>
      <w:r>
        <w:rPr>
          <w:rFonts w:hint="eastAsia" w:ascii="Times New Roman" w:hAnsi="Times New Roman" w:eastAsia="宋体"/>
          <w:color w:val="auto"/>
          <w:sz w:val="24"/>
          <w:szCs w:val="24"/>
          <w:highlight w:val="none"/>
        </w:rPr>
        <w:t>进行自主验收并验收通过。</w:t>
      </w:r>
      <w:r>
        <w:rPr>
          <w:rFonts w:hint="eastAsia" w:ascii="Times New Roman" w:hAnsi="Times New Roman" w:eastAsia="宋体" w:cs="Times New Roman"/>
          <w:color w:val="auto"/>
          <w:sz w:val="24"/>
          <w:szCs w:val="24"/>
          <w:highlight w:val="none"/>
          <w:lang w:eastAsia="zh-CN"/>
        </w:rPr>
        <w:t>202</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08日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lang w:eastAsia="zh-CN"/>
        </w:rPr>
        <w:t>茌平鲁环汽车散热器有限公司</w:t>
      </w:r>
      <w:r>
        <w:rPr>
          <w:rFonts w:hint="eastAsia" w:ascii="Times New Roman" w:hAnsi="Times New Roman" w:eastAsia="宋体" w:cs="Times New Roman"/>
          <w:color w:val="auto"/>
          <w:sz w:val="24"/>
          <w:szCs w:val="24"/>
          <w:highlight w:val="none"/>
          <w:lang w:eastAsia="zh-CN"/>
        </w:rPr>
        <w:t>组织召开了</w:t>
      </w:r>
      <w:r>
        <w:rPr>
          <w:rFonts w:hint="eastAsia" w:ascii="Times New Roman" w:hAnsi="Times New Roman" w:eastAsia="宋体"/>
          <w:color w:val="auto"/>
          <w:sz w:val="24"/>
          <w:szCs w:val="24"/>
          <w:highlight w:val="none"/>
          <w:lang w:eastAsia="zh-CN"/>
        </w:rPr>
        <w:t>茌平鲁环汽车散热器有限公司汽车散热器生产改扩建项目</w:t>
      </w:r>
      <w:r>
        <w:rPr>
          <w:rFonts w:hint="eastAsia" w:ascii="Times New Roman" w:hAnsi="Times New Roman" w:eastAsia="宋体" w:cs="Times New Roman"/>
          <w:color w:val="auto"/>
          <w:sz w:val="24"/>
          <w:szCs w:val="24"/>
          <w:highlight w:val="none"/>
          <w:lang w:eastAsia="zh-CN"/>
        </w:rPr>
        <w:t>竣工环境保护验收现场检查会</w:t>
      </w:r>
      <w:r>
        <w:rPr>
          <w:rFonts w:hint="eastAsia" w:ascii="Times New Roman" w:hAnsi="Times New Roman" w:eastAsia="宋体" w:cs="Times New Roman"/>
          <w:color w:val="auto"/>
          <w:sz w:val="24"/>
          <w:szCs w:val="24"/>
          <w:highlight w:val="none"/>
          <w:lang w:val="en-US" w:eastAsia="zh-CN"/>
        </w:rPr>
        <w:t>并会议</w:t>
      </w:r>
      <w:r>
        <w:rPr>
          <w:rFonts w:hint="eastAsia" w:ascii="Times New Roman" w:hAnsi="Times New Roman" w:eastAsia="宋体" w:cs="Times New Roman"/>
          <w:color w:val="auto"/>
          <w:sz w:val="24"/>
          <w:szCs w:val="24"/>
          <w:highlight w:val="none"/>
          <w:lang w:eastAsia="zh-CN"/>
        </w:rPr>
        <w:t>通过。</w:t>
      </w:r>
    </w:p>
    <w:p w14:paraId="7BF9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茌平鲁环汽车散热器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，于2024年12月08日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2B5E9D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天然气风险事故防范措施</w:t>
      </w:r>
    </w:p>
    <w:p w14:paraId="74CA22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①设备布置严格执行国家有关防火防爆的规范、规定，设备之间保证有足够的安全间距，并按要求设置消防通道。</w:t>
      </w:r>
    </w:p>
    <w:p w14:paraId="09DE00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②采用技术先进和安全可靠的设备，并按国家有关规定设置必要的安全卫生设施。</w:t>
      </w:r>
    </w:p>
    <w:p w14:paraId="5CD854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③设备、管道、管件等均采用可靠的密封技术，使天然气输送过程都在密闭的情况下进行，防止天然气泄漏。</w:t>
      </w:r>
    </w:p>
    <w:p w14:paraId="27D350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④对爆炸、火灾危害场所内可能产生静电危害的物体采取工业静电防范措施。</w:t>
      </w:r>
    </w:p>
    <w:p w14:paraId="228D53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⑤在燃气设施附近应设置事故柜和急救器材、救生器、防护面罩、衣护目镜、胶皮手套、耳塞等防护、急救用具用品。</w:t>
      </w:r>
    </w:p>
    <w:p w14:paraId="176F14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⑥按要求配置消防设施器材，并经常性检修保养，确保设施完好能用。在存在火灾隐患的场所设置火灾自动报警装置及二氧化碳自动灭火系统。</w:t>
      </w:r>
    </w:p>
    <w:p w14:paraId="6F12E5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⑦严格岗位操作规程，加强操作人员的岗位培训和职业素质教育，提高安全意识，实施规范核查</w:t>
      </w:r>
      <w:r>
        <w:rPr>
          <w:rFonts w:hint="eastAsia" w:ascii="Times New Roman" w:hAnsi="Times New Roman" w:cs="Times New Roman"/>
          <w:sz w:val="24"/>
          <w:szCs w:val="24"/>
          <w:lang w:val="en-US" w:eastAsia="zh-CN"/>
        </w:rPr>
        <w:t>；</w:t>
      </w:r>
    </w:p>
    <w:p w14:paraId="7C7F1B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氩气风险事故防范措施</w:t>
      </w:r>
    </w:p>
    <w:p w14:paraId="59E114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①储存于阴凉、通风间内。</w:t>
      </w:r>
    </w:p>
    <w:p w14:paraId="4B8E5A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②远离火种、热源。</w:t>
      </w:r>
    </w:p>
    <w:p w14:paraId="6D5AD9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③防止阳光直射。</w:t>
      </w:r>
    </w:p>
    <w:p w14:paraId="590355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④应与易燃或可燃物分开存放。</w:t>
      </w:r>
    </w:p>
    <w:p w14:paraId="0FE32C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⑤搬运时轻装轻卸，防止钢瓶及附件破损。</w:t>
      </w:r>
    </w:p>
    <w:p w14:paraId="7506B0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项目方应该加强生产管理，防范人为可能引发火灾、爆炸的一切着火源</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认真落实消防安全责任制。</w:t>
      </w:r>
    </w:p>
    <w:p w14:paraId="5E0AB6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应急防范措施</w:t>
      </w:r>
    </w:p>
    <w:p w14:paraId="60D326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厂区内需设置有效容积20m³的事故水池及事故废水导排系统，一旦天然气泄漏、氩气爆炸等发生火灾事故时，事故污水及消防废水经导排系统以非动力自流的方式收集送入事故水池</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同时在雨水的总排口前设置总切断阀，将污染雨水及进入雨排系统的事故污水储存和调开，随管线流入事故水池，将污染物控制在厂区内，有效防止工厂外泄对环境和水体的污染。在落实针对本项目存在的各类事故风险提出的各项风险防范措施及应急措施，保持各项安全设施有效地运行</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加强生产管理的情况下</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可有效避免或降低项目带来的环境风险，使项目的事故风险概率和影响程度降至可接受水平。</w:t>
      </w:r>
    </w:p>
    <w:p w14:paraId="59E3EB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（3）应急预案</w:t>
      </w:r>
    </w:p>
    <w:p w14:paraId="79313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lang w:val="en-US" w:eastAsia="zh-CN"/>
        </w:rPr>
      </w:pPr>
      <w:r>
        <w:rPr>
          <w:rFonts w:hint="default" w:ascii="Times New Roman" w:hAnsi="Times New Roman" w:eastAsia="宋体" w:cs="Times New Roman"/>
          <w:sz w:val="24"/>
          <w:szCs w:val="24"/>
          <w:lang w:val="en-US" w:eastAsia="zh-CN"/>
        </w:rPr>
        <w:t>本次评价以《建设项目环境风险评价技术导则》</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HJ/T169-2018</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为指导，结合《国家突发环境事件应急预案》和《环境污染事故应急预案编制技术指南》相关规定，制定出本项目环境风险应急预案，建设单位必须在此基础上制定更为详细的应急预案及演练计划，同时本项目的环境应急预案应与项目区的环境应急预案相衔接。经采取以上措施后，能够减轻项目润滑油泄漏对周围大气、土壤环境影响。</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85EDE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14:paraId="1EF201A3">
      <w:pPr>
        <w:pStyle w:val="2"/>
        <w:rPr>
          <w:rFonts w:hint="default"/>
          <w:lang w:val="en-US" w:eastAsia="zh-CN"/>
        </w:rPr>
      </w:pP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873"/>
        <w:gridCol w:w="2171"/>
        <w:gridCol w:w="2172"/>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287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1A9D3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77E8A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Style w:val="35"/>
                <w:rFonts w:hint="eastAsia" w:ascii="Times New Roman" w:hAnsi="Times New Roman" w:cs="Times New Roman"/>
                <w:sz w:val="24"/>
                <w:lang w:val="en-US" w:eastAsia="zh-CN"/>
              </w:rPr>
              <w:t>废气</w:t>
            </w:r>
          </w:p>
        </w:tc>
        <w:tc>
          <w:tcPr>
            <w:tcW w:w="2873" w:type="dxa"/>
            <w:tcBorders>
              <w:tl2br w:val="nil"/>
              <w:tr2bl w:val="nil"/>
            </w:tcBorders>
            <w:vAlign w:val="center"/>
          </w:tcPr>
          <w:p w14:paraId="64441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DA001（VOCs）、DA003（颗粒物）、DA004（颗粒物）、DA006（VOCs）、DA007（VOCs）、DA009（颗粒物）、DA011（颗粒物）、DA012（VOCs）、DA013（颗粒物、二氧化硫、氮氧化物）</w:t>
            </w:r>
          </w:p>
        </w:tc>
        <w:tc>
          <w:tcPr>
            <w:tcW w:w="2171" w:type="dxa"/>
            <w:tcBorders>
              <w:tl2br w:val="nil"/>
              <w:tr2bl w:val="nil"/>
            </w:tcBorders>
            <w:vAlign w:val="center"/>
          </w:tcPr>
          <w:p w14:paraId="08E081D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DA012频次为1次/季，其他排放口1次/年</w:t>
            </w:r>
          </w:p>
        </w:tc>
        <w:tc>
          <w:tcPr>
            <w:tcW w:w="2172" w:type="dxa"/>
            <w:tcBorders>
              <w:tl2br w:val="nil"/>
              <w:tr2bl w:val="nil"/>
            </w:tcBorders>
            <w:vAlign w:val="center"/>
          </w:tcPr>
          <w:p w14:paraId="7E787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87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颗粒物、非甲烷总烃</w:t>
            </w:r>
          </w:p>
        </w:tc>
        <w:tc>
          <w:tcPr>
            <w:tcW w:w="217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87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噪声</w:t>
            </w:r>
            <w:r>
              <w:rPr>
                <w:rStyle w:val="35"/>
                <w:rFonts w:hint="default" w:ascii="Times New Roman" w:hAnsi="Times New Roman" w:eastAsia="宋体" w:cs="Times New Roman"/>
                <w:sz w:val="24"/>
                <w:lang w:val="en-US" w:eastAsia="zh-CN"/>
              </w:rPr>
              <w:t>LeqdB</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A</w:t>
            </w:r>
            <w:r>
              <w:rPr>
                <w:rStyle w:val="35"/>
                <w:rFonts w:hint="eastAsia" w:ascii="Times New Roman" w:hAnsi="Times New Roman" w:eastAsia="宋体" w:cs="Times New Roman"/>
                <w:sz w:val="24"/>
                <w:lang w:val="en-US" w:eastAsia="zh-CN"/>
              </w:rPr>
              <w:t>）</w:t>
            </w:r>
          </w:p>
        </w:tc>
        <w:tc>
          <w:tcPr>
            <w:tcW w:w="2171" w:type="dxa"/>
            <w:tcBorders>
              <w:tl2br w:val="nil"/>
              <w:tr2bl w:val="nil"/>
            </w:tcBorders>
            <w:vAlign w:val="center"/>
          </w:tcPr>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昼</w:t>
            </w:r>
            <w:r>
              <w:rPr>
                <w:rStyle w:val="35"/>
                <w:rFonts w:hint="eastAsia" w:ascii="Times New Roman" w:hAnsi="Times New Roman" w:eastAsia="宋体" w:cs="Times New Roman"/>
                <w:sz w:val="24"/>
                <w:lang w:val="en-US" w:eastAsia="zh-CN"/>
              </w:rPr>
              <w:t>夜</w:t>
            </w:r>
            <w:r>
              <w:rPr>
                <w:rStyle w:val="35"/>
                <w:rFonts w:hint="default" w:ascii="Times New Roman" w:hAnsi="Times New Roman" w:eastAsia="宋体" w:cs="Times New Roman"/>
                <w:sz w:val="24"/>
                <w:lang w:val="en-US" w:eastAsia="zh-CN"/>
              </w:rPr>
              <w:t>监测</w:t>
            </w:r>
          </w:p>
        </w:tc>
        <w:tc>
          <w:tcPr>
            <w:tcW w:w="2172"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4E6F6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547DD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DW001</w:t>
            </w:r>
          </w:p>
        </w:tc>
        <w:tc>
          <w:tcPr>
            <w:tcW w:w="2873" w:type="dxa"/>
            <w:tcBorders>
              <w:tl2br w:val="nil"/>
              <w:tr2bl w:val="nil"/>
            </w:tcBorders>
            <w:vAlign w:val="center"/>
          </w:tcPr>
          <w:p w14:paraId="0740BB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PH、COD、BOD</w:t>
            </w:r>
            <w:r>
              <w:rPr>
                <w:rStyle w:val="35"/>
                <w:rFonts w:hint="eastAsia" w:ascii="Times New Roman" w:hAnsi="Times New Roman" w:cs="Times New Roman"/>
                <w:sz w:val="24"/>
                <w:vertAlign w:val="subscript"/>
                <w:lang w:val="en-US" w:eastAsia="zh-CN"/>
              </w:rPr>
              <w:t>5</w:t>
            </w:r>
            <w:r>
              <w:rPr>
                <w:rStyle w:val="35"/>
                <w:rFonts w:hint="eastAsia" w:ascii="Times New Roman" w:hAnsi="Times New Roman" w:cs="Times New Roman"/>
                <w:sz w:val="24"/>
                <w:lang w:val="en-US" w:eastAsia="zh-CN"/>
              </w:rPr>
              <w:t>、氨氮、总磷、总氮、废水流量</w:t>
            </w:r>
          </w:p>
        </w:tc>
        <w:tc>
          <w:tcPr>
            <w:tcW w:w="2171" w:type="dxa"/>
            <w:tcBorders>
              <w:tl2br w:val="nil"/>
              <w:tr2bl w:val="nil"/>
            </w:tcBorders>
            <w:vAlign w:val="center"/>
          </w:tcPr>
          <w:p w14:paraId="138DAF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p>
        </w:tc>
        <w:tc>
          <w:tcPr>
            <w:tcW w:w="2172" w:type="dxa"/>
            <w:tcBorders>
              <w:tl2br w:val="nil"/>
              <w:tr2bl w:val="nil"/>
            </w:tcBorders>
            <w:vAlign w:val="center"/>
          </w:tcPr>
          <w:p w14:paraId="006937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3C7C4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项目运营过程中，严格执行排污许可排放标准，危险废物严格按照《危险废物贮存污染控制标准》（GB 18597-2023）要求执行。</w:t>
      </w:r>
    </w:p>
    <w:p w14:paraId="79298A4B">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D25F48"/>
    <w:rsid w:val="08981135"/>
    <w:rsid w:val="08AC6127"/>
    <w:rsid w:val="0ADB5E7A"/>
    <w:rsid w:val="0B472137"/>
    <w:rsid w:val="0C8223EB"/>
    <w:rsid w:val="0D0001DD"/>
    <w:rsid w:val="0F1C1BCD"/>
    <w:rsid w:val="0FBA5B79"/>
    <w:rsid w:val="11625F1D"/>
    <w:rsid w:val="12CD5618"/>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B36145"/>
    <w:rsid w:val="24657C98"/>
    <w:rsid w:val="24C100AF"/>
    <w:rsid w:val="26150725"/>
    <w:rsid w:val="26F95E73"/>
    <w:rsid w:val="270B5883"/>
    <w:rsid w:val="288C09DE"/>
    <w:rsid w:val="2ABB7EB6"/>
    <w:rsid w:val="2F1728B1"/>
    <w:rsid w:val="30674F5B"/>
    <w:rsid w:val="321E3342"/>
    <w:rsid w:val="332826CA"/>
    <w:rsid w:val="33B639D3"/>
    <w:rsid w:val="33BA52ED"/>
    <w:rsid w:val="33D415F5"/>
    <w:rsid w:val="352B1605"/>
    <w:rsid w:val="35475771"/>
    <w:rsid w:val="35BB246B"/>
    <w:rsid w:val="35F11C8A"/>
    <w:rsid w:val="39DE1D35"/>
    <w:rsid w:val="3BD50FCD"/>
    <w:rsid w:val="3CE753A4"/>
    <w:rsid w:val="3F8C2233"/>
    <w:rsid w:val="403A0C7C"/>
    <w:rsid w:val="42A64878"/>
    <w:rsid w:val="446F2B9F"/>
    <w:rsid w:val="44756DC2"/>
    <w:rsid w:val="44CD1674"/>
    <w:rsid w:val="452C453B"/>
    <w:rsid w:val="452E566D"/>
    <w:rsid w:val="478466B3"/>
    <w:rsid w:val="4D5558B4"/>
    <w:rsid w:val="4E751289"/>
    <w:rsid w:val="4EF37070"/>
    <w:rsid w:val="502328A6"/>
    <w:rsid w:val="50666188"/>
    <w:rsid w:val="518A07B0"/>
    <w:rsid w:val="52B018E5"/>
    <w:rsid w:val="536E48F6"/>
    <w:rsid w:val="53DD36D8"/>
    <w:rsid w:val="54E91C64"/>
    <w:rsid w:val="54EE0658"/>
    <w:rsid w:val="550429A6"/>
    <w:rsid w:val="562954F0"/>
    <w:rsid w:val="57F86847"/>
    <w:rsid w:val="59785D49"/>
    <w:rsid w:val="5A0C3D15"/>
    <w:rsid w:val="5B044F1C"/>
    <w:rsid w:val="5C084E7C"/>
    <w:rsid w:val="5C763BF7"/>
    <w:rsid w:val="5EC253E6"/>
    <w:rsid w:val="5F9C768C"/>
    <w:rsid w:val="60A878DC"/>
    <w:rsid w:val="60B82B42"/>
    <w:rsid w:val="622F0313"/>
    <w:rsid w:val="62536A85"/>
    <w:rsid w:val="63AE1EC8"/>
    <w:rsid w:val="641B4FF7"/>
    <w:rsid w:val="649460BF"/>
    <w:rsid w:val="64E04972"/>
    <w:rsid w:val="68D4001D"/>
    <w:rsid w:val="695305DA"/>
    <w:rsid w:val="69807E63"/>
    <w:rsid w:val="6A4662AD"/>
    <w:rsid w:val="6A7038C2"/>
    <w:rsid w:val="6AAE1741"/>
    <w:rsid w:val="6C9227DE"/>
    <w:rsid w:val="6F5F79E8"/>
    <w:rsid w:val="70904E30"/>
    <w:rsid w:val="71BE777B"/>
    <w:rsid w:val="75926377"/>
    <w:rsid w:val="7696248B"/>
    <w:rsid w:val="76A35191"/>
    <w:rsid w:val="76DD7878"/>
    <w:rsid w:val="76DE59F5"/>
    <w:rsid w:val="78B611AB"/>
    <w:rsid w:val="79425628"/>
    <w:rsid w:val="7A525C0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2952</Words>
  <Characters>3085</Characters>
  <Lines>18</Lines>
  <Paragraphs>5</Paragraphs>
  <TotalTime>16</TotalTime>
  <ScaleCrop>false</ScaleCrop>
  <LinksUpToDate>false</LinksUpToDate>
  <CharactersWithSpaces>3103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2024-12-16T07:47:22Z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2E48D0C303DB46B78E4AEE9DD17F89AB_13</vt:lpwstr>
  </property>
</Properties>
</file>