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4079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Times New Roman" w:eastAsiaTheme="majorEastAsia"/>
          <w:b/>
          <w:bCs/>
          <w:sz w:val="28"/>
          <w:szCs w:val="28"/>
          <w:lang w:eastAsia="zh-CN"/>
        </w:rPr>
      </w:pPr>
      <w:r>
        <w:rPr>
          <w:rFonts w:hint="eastAsia" w:ascii="Times New Roman" w:hAnsi="Times New Roman" w:cs="Times New Roman" w:eastAsiaTheme="majorEastAsia"/>
          <w:b/>
          <w:bCs/>
          <w:sz w:val="28"/>
          <w:szCs w:val="28"/>
          <w:lang w:eastAsia="zh-CN"/>
        </w:rPr>
        <w:t>山东恒晟智能科技有限公司</w:t>
      </w:r>
    </w:p>
    <w:p w14:paraId="645D2A4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Times New Roman" w:eastAsiaTheme="majorEastAsia"/>
          <w:b/>
          <w:bCs/>
          <w:sz w:val="28"/>
          <w:szCs w:val="28"/>
          <w:lang w:eastAsia="zh-CN"/>
        </w:rPr>
      </w:pPr>
      <w:r>
        <w:rPr>
          <w:rFonts w:hint="eastAsia" w:ascii="Times New Roman" w:hAnsi="Times New Roman" w:cs="Times New Roman" w:eastAsiaTheme="majorEastAsia"/>
          <w:b/>
          <w:bCs/>
          <w:sz w:val="28"/>
          <w:szCs w:val="28"/>
          <w:lang w:eastAsia="zh-CN"/>
        </w:rPr>
        <w:t>年喷涂 33万平方米铝单板项目(一期)</w:t>
      </w:r>
    </w:p>
    <w:p w14:paraId="3034490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28"/>
          <w:szCs w:val="28"/>
        </w:rPr>
      </w:pPr>
      <w:r>
        <w:rPr>
          <w:rFonts w:hint="default" w:ascii="Times New Roman" w:hAnsi="Times New Roman" w:cs="Times New Roman" w:eastAsiaTheme="majorEastAsia"/>
          <w:b/>
          <w:bCs/>
          <w:sz w:val="28"/>
          <w:szCs w:val="28"/>
          <w:lang w:eastAsia="zh-CN"/>
        </w:rPr>
        <w:t>竣</w:t>
      </w:r>
      <w:r>
        <w:rPr>
          <w:rFonts w:hint="default" w:ascii="Times New Roman" w:hAnsi="Times New Roman" w:cs="Times New Roman" w:eastAsiaTheme="majorEastAsia"/>
          <w:b/>
          <w:bCs/>
          <w:sz w:val="28"/>
          <w:szCs w:val="28"/>
        </w:rPr>
        <w:t>工环境保护验收检查意见</w:t>
      </w:r>
    </w:p>
    <w:p w14:paraId="7C3E062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auto"/>
          <w:sz w:val="24"/>
          <w:szCs w:val="24"/>
          <w:highlight w:val="none"/>
        </w:rPr>
        <w:t>20</w:t>
      </w:r>
      <w:r>
        <w:rPr>
          <w:rFonts w:hint="eastAsia" w:ascii="Times New Roman" w:hAnsi="Times New Roman" w:cs="Times New Roman" w:eastAsiaTheme="minorEastAsia"/>
          <w:color w:val="auto"/>
          <w:sz w:val="24"/>
          <w:szCs w:val="24"/>
          <w:highlight w:val="none"/>
          <w:lang w:val="en-US" w:eastAsia="zh-CN"/>
        </w:rPr>
        <w:t>25</w:t>
      </w:r>
      <w:r>
        <w:rPr>
          <w:rFonts w:hint="default" w:ascii="Times New Roman" w:hAnsi="Times New Roman" w:cs="Times New Roman" w:eastAsiaTheme="minorEastAsia"/>
          <w:color w:val="auto"/>
          <w:sz w:val="24"/>
          <w:szCs w:val="24"/>
          <w:highlight w:val="none"/>
        </w:rPr>
        <w:t>年</w:t>
      </w:r>
      <w:r>
        <w:rPr>
          <w:rFonts w:hint="eastAsia" w:ascii="Times New Roman" w:hAnsi="Times New Roman" w:cs="Times New Roman" w:eastAsiaTheme="minorEastAsia"/>
          <w:color w:val="auto"/>
          <w:sz w:val="24"/>
          <w:szCs w:val="24"/>
          <w:highlight w:val="none"/>
          <w:lang w:val="en-US" w:eastAsia="zh-CN"/>
        </w:rPr>
        <w:t>06</w:t>
      </w:r>
      <w:r>
        <w:rPr>
          <w:rFonts w:hint="default" w:ascii="Times New Roman" w:hAnsi="Times New Roman" w:cs="Times New Roman" w:eastAsiaTheme="minorEastAsia"/>
          <w:color w:val="auto"/>
          <w:sz w:val="24"/>
          <w:szCs w:val="24"/>
          <w:highlight w:val="none"/>
        </w:rPr>
        <w:t>月</w:t>
      </w:r>
      <w:r>
        <w:rPr>
          <w:rFonts w:hint="eastAsia" w:ascii="Times New Roman" w:hAnsi="Times New Roman" w:cs="Times New Roman" w:eastAsiaTheme="minorEastAsia"/>
          <w:color w:val="auto"/>
          <w:sz w:val="24"/>
          <w:szCs w:val="24"/>
          <w:highlight w:val="none"/>
          <w:lang w:val="en-US" w:eastAsia="zh-CN"/>
        </w:rPr>
        <w:t>15</w:t>
      </w:r>
      <w:r>
        <w:rPr>
          <w:rFonts w:hint="default" w:ascii="Times New Roman" w:hAnsi="Times New Roman" w:cs="Times New Roman" w:eastAsiaTheme="minorEastAsia"/>
          <w:color w:val="auto"/>
          <w:sz w:val="24"/>
          <w:szCs w:val="24"/>
          <w:highlight w:val="none"/>
        </w:rPr>
        <w:t>日，</w:t>
      </w:r>
      <w:r>
        <w:rPr>
          <w:rFonts w:hint="eastAsia" w:ascii="Times New Roman" w:hAnsi="Times New Roman"/>
          <w:color w:val="auto"/>
          <w:sz w:val="24"/>
          <w:szCs w:val="24"/>
          <w:highlight w:val="none"/>
          <w:lang w:eastAsia="zh-CN"/>
        </w:rPr>
        <w:t>山</w:t>
      </w:r>
      <w:r>
        <w:rPr>
          <w:rFonts w:hint="eastAsia" w:ascii="Times New Roman" w:hAnsi="Times New Roman"/>
          <w:color w:val="auto"/>
          <w:sz w:val="24"/>
          <w:szCs w:val="24"/>
          <w:lang w:eastAsia="zh-CN"/>
        </w:rPr>
        <w:t>东恒晟智能科技有限公司</w:t>
      </w:r>
      <w:r>
        <w:rPr>
          <w:rFonts w:hint="default" w:ascii="Times New Roman" w:hAnsi="Times New Roman" w:cs="Times New Roman" w:eastAsiaTheme="minorEastAsia"/>
          <w:sz w:val="24"/>
          <w:szCs w:val="24"/>
        </w:rPr>
        <w:t>组织召开了</w:t>
      </w:r>
      <w:r>
        <w:rPr>
          <w:rFonts w:hint="eastAsia" w:ascii="Times New Roman" w:hAnsi="Times New Roman" w:cs="Times New Roman"/>
          <w:color w:val="auto"/>
          <w:sz w:val="24"/>
          <w:szCs w:val="24"/>
          <w:highlight w:val="none"/>
          <w:lang w:val="en-US" w:eastAsia="zh-CN"/>
        </w:rPr>
        <w:t>山东恒晟智能科技有限公司年喷涂 33万平方米铝单板项目(一期)</w:t>
      </w:r>
      <w:r>
        <w:rPr>
          <w:rFonts w:hint="default" w:ascii="Times New Roman" w:hAnsi="Times New Roman" w:cs="Times New Roman" w:eastAsiaTheme="minorEastAsia"/>
          <w:sz w:val="24"/>
          <w:szCs w:val="24"/>
        </w:rPr>
        <w:t>竣工环境保护验收现场检查会。验收组由工程建设单位（</w:t>
      </w:r>
      <w:r>
        <w:rPr>
          <w:rFonts w:hint="eastAsia" w:ascii="Times New Roman" w:hAnsi="Times New Roman"/>
          <w:color w:val="auto"/>
          <w:sz w:val="24"/>
          <w:szCs w:val="24"/>
          <w:lang w:eastAsia="zh-CN"/>
        </w:rPr>
        <w:t>山东恒晟智能科技有限公司</w:t>
      </w:r>
      <w:r>
        <w:rPr>
          <w:rFonts w:hint="default" w:ascii="Times New Roman" w:hAnsi="Times New Roman" w:cs="Times New Roman" w:eastAsiaTheme="minorEastAsia"/>
          <w:sz w:val="24"/>
          <w:szCs w:val="24"/>
        </w:rPr>
        <w:t>）、验收监测报告编制单位并特邀</w:t>
      </w: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rPr>
        <w:t>名专家组成。验收组现场查阅并核实了项目环保工作落实情况，根据验收监测报告并对照《建设项目环境保护管理条例》、《建设项目竣工环境保护验收暂行办法》，依照有关法律法规、本项目环境影响评价报告书及其批复等要求对本项目进行验收。经认真研究，形成如下验收意见：</w:t>
      </w:r>
    </w:p>
    <w:p w14:paraId="2C8545C5">
      <w:pPr>
        <w:keepNext w:val="0"/>
        <w:keepLines w:val="0"/>
        <w:pageBreakBefore w:val="0"/>
        <w:kinsoku/>
        <w:wordWrap/>
        <w:overflowPunct/>
        <w:topLinePunct w:val="0"/>
        <w:bidi w:val="0"/>
        <w:spacing w:line="560" w:lineRule="exact"/>
        <w:ind w:firstLine="551" w:firstLineChars="196"/>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一、工程建设基本情况</w:t>
      </w:r>
    </w:p>
    <w:p w14:paraId="3D8A2E15">
      <w:pPr>
        <w:keepNext w:val="0"/>
        <w:keepLines w:val="0"/>
        <w:pageBreakBefore w:val="0"/>
        <w:kinsoku/>
        <w:wordWrap/>
        <w:overflowPunct/>
        <w:topLinePunct w:val="0"/>
        <w:bidi w:val="0"/>
        <w:spacing w:line="560" w:lineRule="exact"/>
        <w:ind w:firstLine="56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（一）建设地点、规模、主要建设内容</w:t>
      </w:r>
    </w:p>
    <w:p w14:paraId="10B3F522">
      <w:pPr>
        <w:widowControl w:val="0"/>
        <w:spacing w:line="360" w:lineRule="auto"/>
        <w:ind w:firstLine="480" w:firstLineChars="200"/>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山东恒晟智能科技有限公司成立于2014年01月，主要经营范围为：铝单板、金属幕墙板的生产和销售等。公司现有项目为《年产7万平方米铝单板项目》(机加工项目)、《年产7万平方米铝单板项目》(喷漆项目)和《年产20万平方米铝单板项目(一期)》(机加工项目)，现有项目均按照相关法规编制了建设项目环境影响评价报告并取得了批复，并且项目均通过验收后持证排污，目前正在运行中。本次项目一期投资150万元，占地面积约5661平方米（土地性质为工业用地）。扩建项目仅进行喷塑和喷水性漆产品的生产，所用涂料不涉及溶剂型涂料，设计年喷涂28万平方米铝单板，主要购置水性漆喷枪12把，喷塑间1个和烘干室配套滑轨1套，利用现有车间及设备进行建设。项目一期投产后可达年喷涂塑粉15万平方米铝单板、喷涂水性漆13万平方米铝单板生产能力</w:t>
      </w:r>
      <w:r>
        <w:rPr>
          <w:rFonts w:hint="eastAsia" w:ascii="Times New Roman" w:hAnsi="Times New Roman" w:eastAsia="宋体" w:cs="Times New Roman"/>
          <w:color w:val="auto"/>
          <w:sz w:val="24"/>
          <w:szCs w:val="24"/>
          <w:highlight w:val="none"/>
          <w:lang w:eastAsia="zh-CN"/>
        </w:rPr>
        <w:t>。</w:t>
      </w:r>
    </w:p>
    <w:p w14:paraId="506855A0">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（二）建设过程及环保审批情况</w:t>
      </w:r>
    </w:p>
    <w:p w14:paraId="15DB17F1">
      <w:pPr>
        <w:widowControl w:val="0"/>
        <w:spacing w:line="360" w:lineRule="auto"/>
        <w:ind w:firstLine="480" w:firstLineChars="200"/>
        <w:jc w:val="left"/>
        <w:rPr>
          <w:rFonts w:ascii="Times New Roman" w:hAnsi="Times New Roman" w:eastAsia="宋体"/>
          <w:color w:val="auto"/>
          <w:sz w:val="24"/>
          <w:szCs w:val="24"/>
          <w:highlight w:val="none"/>
        </w:rPr>
      </w:pPr>
      <w:r>
        <w:rPr>
          <w:rFonts w:hint="eastAsia" w:ascii="Times New Roman" w:hAnsi="Times New Roman"/>
          <w:color w:val="auto"/>
          <w:sz w:val="24"/>
          <w:szCs w:val="24"/>
          <w:highlight w:val="none"/>
          <w:lang w:val="en-US" w:eastAsia="zh-CN"/>
        </w:rPr>
        <w:t>2</w:t>
      </w:r>
      <w:r>
        <w:rPr>
          <w:rFonts w:ascii="Times New Roman" w:hAnsi="Times New Roman" w:eastAsia="宋体"/>
          <w:color w:val="auto"/>
          <w:sz w:val="24"/>
          <w:szCs w:val="24"/>
          <w:highlight w:val="none"/>
        </w:rPr>
        <w:t>02</w:t>
      </w:r>
      <w:r>
        <w:rPr>
          <w:rFonts w:hint="eastAsia" w:ascii="Times New Roman" w:hAnsi="Times New Roman" w:eastAsia="宋体"/>
          <w:color w:val="auto"/>
          <w:sz w:val="24"/>
          <w:szCs w:val="24"/>
          <w:highlight w:val="none"/>
          <w:lang w:val="en-US" w:eastAsia="zh-CN"/>
        </w:rPr>
        <w:t>3</w:t>
      </w:r>
      <w:r>
        <w:rPr>
          <w:rFonts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7</w:t>
      </w:r>
      <w:r>
        <w:rPr>
          <w:rFonts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eastAsia="zh-CN"/>
        </w:rPr>
        <w:t>山东恒晟智能科技有限公司</w:t>
      </w:r>
      <w:r>
        <w:rPr>
          <w:rFonts w:ascii="Times New Roman" w:hAnsi="Times New Roman" w:eastAsia="宋体"/>
          <w:color w:val="auto"/>
          <w:sz w:val="24"/>
          <w:szCs w:val="24"/>
          <w:highlight w:val="none"/>
        </w:rPr>
        <w:t>委托</w:t>
      </w:r>
      <w:r>
        <w:rPr>
          <w:rFonts w:hint="eastAsia" w:ascii="Times New Roman" w:hAnsi="Times New Roman" w:eastAsia="宋体"/>
          <w:color w:val="auto"/>
          <w:sz w:val="24"/>
          <w:szCs w:val="24"/>
          <w:highlight w:val="none"/>
          <w:lang w:eastAsia="zh-CN"/>
        </w:rPr>
        <w:t>山东蔚海蓝天环境科技集团有限公司</w:t>
      </w:r>
      <w:r>
        <w:rPr>
          <w:rFonts w:ascii="Times New Roman" w:hAnsi="Times New Roman" w:eastAsia="宋体"/>
          <w:color w:val="auto"/>
          <w:sz w:val="24"/>
          <w:szCs w:val="24"/>
          <w:highlight w:val="none"/>
        </w:rPr>
        <w:t>编制《</w:t>
      </w:r>
      <w:r>
        <w:rPr>
          <w:rFonts w:hint="eastAsia" w:ascii="Times New Roman" w:hAnsi="Times New Roman" w:eastAsia="宋体"/>
          <w:color w:val="auto"/>
          <w:sz w:val="24"/>
          <w:szCs w:val="24"/>
          <w:highlight w:val="none"/>
          <w:lang w:eastAsia="zh-CN"/>
        </w:rPr>
        <w:t>山东恒晟智能科技有限公司年喷涂 33万平方米铝单板项目(一期)</w:t>
      </w:r>
      <w:r>
        <w:rPr>
          <w:rFonts w:ascii="Times New Roman" w:hAnsi="Times New Roman" w:eastAsia="宋体"/>
          <w:color w:val="auto"/>
          <w:sz w:val="24"/>
          <w:szCs w:val="24"/>
          <w:highlight w:val="none"/>
        </w:rPr>
        <w:t>》，202</w:t>
      </w:r>
      <w:r>
        <w:rPr>
          <w:rFonts w:hint="eastAsia" w:ascii="Times New Roman" w:hAnsi="Times New Roman" w:eastAsia="宋体"/>
          <w:color w:val="auto"/>
          <w:sz w:val="24"/>
          <w:szCs w:val="24"/>
          <w:highlight w:val="none"/>
          <w:lang w:val="en-US" w:eastAsia="zh-CN"/>
        </w:rPr>
        <w:t>4</w:t>
      </w:r>
      <w:r>
        <w:rPr>
          <w:rFonts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3</w:t>
      </w:r>
      <w:r>
        <w:rPr>
          <w:rFonts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val="en-US" w:eastAsia="zh-CN"/>
        </w:rPr>
        <w:t>12</w:t>
      </w:r>
      <w:r>
        <w:rPr>
          <w:rFonts w:ascii="Times New Roman" w:hAnsi="Times New Roman" w:eastAsia="宋体"/>
          <w:color w:val="auto"/>
          <w:sz w:val="24"/>
          <w:szCs w:val="24"/>
          <w:highlight w:val="none"/>
        </w:rPr>
        <w:t>日聊城市茌平区行政审批服务局以</w:t>
      </w:r>
      <w:r>
        <w:rPr>
          <w:rFonts w:hint="eastAsia" w:ascii="Times New Roman" w:hAnsi="Times New Roman" w:eastAsia="宋体"/>
          <w:color w:val="auto"/>
          <w:sz w:val="24"/>
          <w:szCs w:val="24"/>
          <w:highlight w:val="none"/>
          <w:lang w:eastAsia="zh-CN"/>
        </w:rPr>
        <w:t>聊茌行审环管〔202</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lang w:val="en-US" w:eastAsia="zh-CN"/>
        </w:rPr>
        <w:t>19</w:t>
      </w:r>
      <w:r>
        <w:rPr>
          <w:rFonts w:hint="eastAsia" w:ascii="Times New Roman" w:hAnsi="Times New Roman" w:eastAsia="宋体"/>
          <w:color w:val="auto"/>
          <w:sz w:val="24"/>
          <w:szCs w:val="24"/>
          <w:highlight w:val="none"/>
          <w:lang w:eastAsia="zh-CN"/>
        </w:rPr>
        <w:t>号</w:t>
      </w:r>
      <w:r>
        <w:rPr>
          <w:rFonts w:hint="eastAsia" w:ascii="Times New Roman" w:hAnsi="Times New Roman" w:eastAsia="宋体"/>
          <w:color w:val="auto"/>
          <w:sz w:val="24"/>
          <w:szCs w:val="24"/>
          <w:highlight w:val="none"/>
        </w:rPr>
        <w:t>文</w:t>
      </w:r>
      <w:r>
        <w:rPr>
          <w:rFonts w:ascii="Times New Roman" w:hAnsi="Times New Roman" w:eastAsia="宋体"/>
          <w:color w:val="auto"/>
          <w:sz w:val="24"/>
          <w:szCs w:val="24"/>
          <w:highlight w:val="none"/>
        </w:rPr>
        <w:t>对该项目进行了批复。</w:t>
      </w:r>
    </w:p>
    <w:p w14:paraId="4F99D1DF">
      <w:pPr>
        <w:widowControl w:val="0"/>
        <w:spacing w:line="360" w:lineRule="auto"/>
        <w:ind w:firstLine="480" w:firstLineChars="200"/>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val="en-US" w:eastAsia="zh-CN"/>
        </w:rPr>
        <w:t>025年4月，</w:t>
      </w:r>
      <w:r>
        <w:rPr>
          <w:rFonts w:hint="eastAsia" w:ascii="Times New Roman" w:hAnsi="Times New Roman" w:eastAsia="宋体" w:cs="Times New Roman"/>
          <w:color w:val="auto"/>
          <w:sz w:val="24"/>
          <w:szCs w:val="24"/>
          <w:highlight w:val="none"/>
          <w:lang w:eastAsia="zh-CN"/>
        </w:rPr>
        <w:t>山东恒晟智能科技有限公司</w:t>
      </w:r>
      <w:r>
        <w:rPr>
          <w:rFonts w:ascii="Times New Roman" w:hAnsi="Times New Roman" w:eastAsia="宋体" w:cs="Times New Roman"/>
          <w:color w:val="auto"/>
          <w:sz w:val="24"/>
          <w:szCs w:val="24"/>
          <w:highlight w:val="none"/>
        </w:rPr>
        <w:t>委托</w:t>
      </w:r>
      <w:r>
        <w:rPr>
          <w:rFonts w:hint="eastAsia" w:ascii="Times New Roman" w:hAnsi="Times New Roman" w:eastAsia="宋体" w:cs="Times New Roman"/>
          <w:color w:val="auto"/>
          <w:sz w:val="24"/>
          <w:szCs w:val="24"/>
          <w:highlight w:val="none"/>
          <w:lang w:eastAsia="zh-CN"/>
        </w:rPr>
        <w:t>山东玖玺环保科技有限公司</w:t>
      </w:r>
      <w:r>
        <w:rPr>
          <w:rFonts w:ascii="Times New Roman" w:hAnsi="Times New Roman" w:eastAsia="宋体" w:cs="Times New Roman"/>
          <w:color w:val="auto"/>
          <w:sz w:val="24"/>
          <w:szCs w:val="24"/>
          <w:highlight w:val="none"/>
        </w:rPr>
        <w:t>于202</w:t>
      </w:r>
      <w:r>
        <w:rPr>
          <w:rFonts w:hint="eastAsia" w:ascii="Times New Roman" w:hAnsi="Times New Roman" w:eastAsia="宋体" w:cs="Times New Roman"/>
          <w:color w:val="auto"/>
          <w:sz w:val="24"/>
          <w:szCs w:val="24"/>
          <w:highlight w:val="none"/>
          <w:lang w:val="en-US" w:eastAsia="zh-CN"/>
        </w:rPr>
        <w:t>5</w:t>
      </w:r>
      <w:r>
        <w:rPr>
          <w:rFonts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04</w:t>
      </w:r>
      <w:r>
        <w:rPr>
          <w:rFonts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23</w:t>
      </w:r>
      <w:r>
        <w:rPr>
          <w:rFonts w:ascii="Times New Roman" w:hAnsi="Times New Roman" w:eastAsia="宋体" w:cs="Times New Roman"/>
          <w:color w:val="auto"/>
          <w:sz w:val="24"/>
          <w:szCs w:val="24"/>
          <w:highlight w:val="none"/>
        </w:rPr>
        <w:t>日</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05</w:t>
      </w:r>
      <w:r>
        <w:rPr>
          <w:rFonts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28</w:t>
      </w:r>
      <w:r>
        <w:rPr>
          <w:rFonts w:ascii="Times New Roman" w:hAnsi="Times New Roman" w:eastAsia="宋体" w:cs="Times New Roman"/>
          <w:color w:val="auto"/>
          <w:sz w:val="24"/>
          <w:szCs w:val="24"/>
          <w:highlight w:val="none"/>
        </w:rPr>
        <w:t>日对</w:t>
      </w:r>
      <w:r>
        <w:rPr>
          <w:rFonts w:hint="eastAsia" w:ascii="Times New Roman" w:hAnsi="Times New Roman" w:eastAsia="宋体" w:cs="Times New Roman"/>
          <w:color w:val="auto"/>
          <w:sz w:val="24"/>
          <w:szCs w:val="24"/>
          <w:highlight w:val="none"/>
          <w:lang w:val="en-US" w:eastAsia="zh-CN"/>
        </w:rPr>
        <w:t>山东恒晟智能科技有限公司年喷涂 33万平方米铝单板项目（一期年喷涂 28万平方米铝单板项目）</w:t>
      </w:r>
      <w:r>
        <w:rPr>
          <w:rFonts w:ascii="Times New Roman" w:hAnsi="Times New Roman" w:eastAsia="宋体" w:cs="Times New Roman"/>
          <w:color w:val="auto"/>
          <w:sz w:val="24"/>
          <w:szCs w:val="24"/>
          <w:highlight w:val="none"/>
        </w:rPr>
        <w:t>进行了验收检测。后对检测数据进行分析论证，在此基础上完成了项目竣工环境保护验收监测报告表的编制。</w:t>
      </w:r>
      <w:r>
        <w:rPr>
          <w:rFonts w:hint="eastAsia" w:ascii="Times New Roman" w:hAnsi="Times New Roman" w:eastAsia="宋体" w:cs="Times New Roman"/>
          <w:color w:val="auto"/>
          <w:sz w:val="24"/>
          <w:szCs w:val="24"/>
          <w:highlight w:val="none"/>
          <w:lang w:eastAsia="zh-CN"/>
        </w:rPr>
        <w:t>本次项目验收范围为</w:t>
      </w:r>
      <w:r>
        <w:rPr>
          <w:rFonts w:hint="eastAsia" w:ascii="Times New Roman" w:hAnsi="Times New Roman" w:eastAsia="宋体" w:cs="Times New Roman"/>
          <w:color w:val="auto"/>
          <w:sz w:val="24"/>
          <w:szCs w:val="24"/>
          <w:highlight w:val="none"/>
          <w:lang w:val="en-US" w:eastAsia="zh-CN"/>
        </w:rPr>
        <w:t>山东恒晟智能科技有限公司年喷涂 33万平方米铝单板项目（一期年喷涂 28万平方米铝单板项目）。2025年04月</w:t>
      </w:r>
      <w:r>
        <w:rPr>
          <w:rFonts w:hint="eastAsia" w:ascii="Times New Roman" w:hAnsi="Times New Roman" w:eastAsia="宋体"/>
          <w:color w:val="auto"/>
          <w:sz w:val="24"/>
          <w:szCs w:val="24"/>
          <w:highlight w:val="none"/>
          <w:lang w:eastAsia="zh-CN"/>
        </w:rPr>
        <w:t>山东恒晟智能科技有限公司</w:t>
      </w:r>
      <w:r>
        <w:rPr>
          <w:rFonts w:hint="eastAsia" w:ascii="Times New Roman" w:hAnsi="Times New Roman" w:eastAsia="宋体" w:cs="Times New Roman"/>
          <w:color w:val="auto"/>
          <w:sz w:val="24"/>
          <w:szCs w:val="24"/>
          <w:highlight w:val="none"/>
          <w:lang w:val="en-US" w:eastAsia="zh-CN"/>
        </w:rPr>
        <w:t>委托山东玖玺环保科技有限公司对</w:t>
      </w:r>
      <w:r>
        <w:rPr>
          <w:rFonts w:hint="eastAsia" w:ascii="Times New Roman" w:hAnsi="Times New Roman" w:eastAsia="宋体"/>
          <w:color w:val="auto"/>
          <w:sz w:val="24"/>
          <w:szCs w:val="24"/>
          <w:highlight w:val="none"/>
          <w:lang w:eastAsia="zh-CN"/>
        </w:rPr>
        <w:t>山东恒晟智能科技有限公司年喷涂 33万平方米铝单板项目</w:t>
      </w:r>
      <w:r>
        <w:rPr>
          <w:rFonts w:hint="eastAsia" w:ascii="Times New Roman" w:hAnsi="Times New Roman" w:eastAsia="宋体" w:cs="Times New Roman"/>
          <w:color w:val="auto"/>
          <w:sz w:val="24"/>
          <w:szCs w:val="24"/>
          <w:highlight w:val="none"/>
          <w:lang w:val="en-US" w:eastAsia="zh-CN"/>
        </w:rPr>
        <w:t>（一期年喷涂 28万平方米铝单板项目）进行自主验收并验收通过。</w:t>
      </w:r>
      <w:r>
        <w:rPr>
          <w:rFonts w:hint="eastAsia" w:ascii="Times New Roman" w:hAnsi="Times New Roman" w:eastAsia="宋体"/>
          <w:color w:val="auto"/>
          <w:sz w:val="24"/>
          <w:szCs w:val="24"/>
          <w:highlight w:val="none"/>
          <w:lang w:eastAsia="zh-CN"/>
        </w:rPr>
        <w:t>2025年0</w:t>
      </w:r>
      <w:r>
        <w:rPr>
          <w:rFonts w:hint="eastAsia" w:ascii="Times New Roman" w:hAnsi="Times New Roman" w:eastAsia="宋体"/>
          <w:color w:val="auto"/>
          <w:sz w:val="24"/>
          <w:szCs w:val="24"/>
          <w:highlight w:val="none"/>
          <w:lang w:val="en-US" w:eastAsia="zh-CN"/>
        </w:rPr>
        <w:t>6</w:t>
      </w:r>
      <w:r>
        <w:rPr>
          <w:rFonts w:hint="eastAsia" w:ascii="Times New Roman" w:hAnsi="Times New Roman" w:eastAsia="宋体"/>
          <w:color w:val="auto"/>
          <w:sz w:val="24"/>
          <w:szCs w:val="24"/>
          <w:highlight w:val="none"/>
          <w:lang w:eastAsia="zh-CN"/>
        </w:rPr>
        <w:t>月</w:t>
      </w:r>
      <w:r>
        <w:rPr>
          <w:rFonts w:hint="eastAsia" w:ascii="Times New Roman" w:hAnsi="Times New Roman" w:eastAsia="宋体"/>
          <w:color w:val="auto"/>
          <w:sz w:val="24"/>
          <w:szCs w:val="24"/>
          <w:highlight w:val="none"/>
          <w:lang w:val="en-US" w:eastAsia="zh-CN"/>
        </w:rPr>
        <w:t>15</w:t>
      </w:r>
      <w:r>
        <w:rPr>
          <w:rFonts w:hint="eastAsia" w:ascii="Times New Roman" w:hAnsi="Times New Roman" w:eastAsia="宋体"/>
          <w:color w:val="auto"/>
          <w:sz w:val="24"/>
          <w:szCs w:val="24"/>
          <w:highlight w:val="none"/>
          <w:lang w:eastAsia="zh-CN"/>
        </w:rPr>
        <w:t>日山东恒晟智能科技有限公司</w:t>
      </w:r>
      <w:r>
        <w:rPr>
          <w:rFonts w:hint="eastAsia" w:ascii="Times New Roman" w:hAnsi="Times New Roman" w:eastAsia="宋体"/>
          <w:color w:val="auto"/>
          <w:sz w:val="24"/>
          <w:szCs w:val="24"/>
          <w:highlight w:val="none"/>
        </w:rPr>
        <w:t>组织召开了</w:t>
      </w:r>
      <w:r>
        <w:rPr>
          <w:rFonts w:hint="eastAsia" w:ascii="Times New Roman" w:hAnsi="Times New Roman" w:eastAsia="宋体"/>
          <w:color w:val="auto"/>
          <w:sz w:val="24"/>
          <w:szCs w:val="24"/>
          <w:highlight w:val="none"/>
          <w:lang w:eastAsia="zh-CN"/>
        </w:rPr>
        <w:t>山东恒晟智能科技有限公司年喷涂 33万平方米铝单板项目</w:t>
      </w:r>
      <w:r>
        <w:rPr>
          <w:rFonts w:hint="eastAsia" w:ascii="Times New Roman" w:hAnsi="Times New Roman" w:eastAsia="宋体" w:cs="Times New Roman"/>
          <w:color w:val="auto"/>
          <w:sz w:val="24"/>
          <w:szCs w:val="24"/>
          <w:highlight w:val="none"/>
          <w:lang w:val="en-US" w:eastAsia="zh-CN"/>
        </w:rPr>
        <w:t>（一期年喷涂 28万平方米铝单板项目）</w:t>
      </w:r>
      <w:r>
        <w:rPr>
          <w:rFonts w:hint="eastAsia" w:ascii="Times New Roman" w:hAnsi="Times New Roman" w:eastAsia="宋体"/>
          <w:color w:val="auto"/>
          <w:sz w:val="24"/>
          <w:szCs w:val="24"/>
          <w:highlight w:val="none"/>
        </w:rPr>
        <w:t>竣工环境保护验收现场检查会并会议通过。</w:t>
      </w:r>
    </w:p>
    <w:p w14:paraId="372A944C">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（三）投资情况</w:t>
      </w:r>
    </w:p>
    <w:p w14:paraId="543B4A9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4"/>
        </w:rPr>
        <w:t>项目总投资</w:t>
      </w:r>
      <w:r>
        <w:rPr>
          <w:rFonts w:hint="eastAsia" w:ascii="Times New Roman" w:hAnsi="Times New Roman" w:cs="Times New Roman" w:eastAsiaTheme="minorEastAsia"/>
          <w:sz w:val="24"/>
          <w:szCs w:val="24"/>
          <w:lang w:val="en-US" w:eastAsia="zh-CN"/>
        </w:rPr>
        <w:t>150万</w:t>
      </w:r>
      <w:r>
        <w:rPr>
          <w:rFonts w:hint="eastAsia" w:asciiTheme="minorEastAsia" w:hAnsiTheme="minorEastAsia" w:eastAsiaTheme="minorEastAsia" w:cstheme="minorEastAsia"/>
          <w:sz w:val="24"/>
          <w:szCs w:val="24"/>
        </w:rPr>
        <w:t>元，环保投</w:t>
      </w:r>
      <w:r>
        <w:rPr>
          <w:rFonts w:hint="eastAsia" w:asciiTheme="minorEastAsia" w:hAnsiTheme="minorEastAsia" w:eastAsiaTheme="minorEastAsia" w:cstheme="minorEastAsia"/>
          <w:sz w:val="24"/>
          <w:szCs w:val="24"/>
          <w:highlight w:val="none"/>
        </w:rPr>
        <w:t>资</w:t>
      </w:r>
      <w:r>
        <w:rPr>
          <w:rFonts w:hint="eastAsia" w:ascii="Times New Roman" w:hAnsi="Times New Roman" w:cs="Times New Roman" w:eastAsiaTheme="minorEastAsia"/>
          <w:sz w:val="24"/>
          <w:szCs w:val="24"/>
          <w:highlight w:val="none"/>
          <w:lang w:val="en-US" w:eastAsia="zh-CN"/>
        </w:rPr>
        <w:t>12</w:t>
      </w:r>
      <w:r>
        <w:rPr>
          <w:rFonts w:hint="eastAsia" w:asciiTheme="minorEastAsia" w:hAnsiTheme="minorEastAsia" w:eastAsiaTheme="minorEastAsia" w:cstheme="minorEastAsia"/>
          <w:sz w:val="24"/>
          <w:szCs w:val="24"/>
          <w:highlight w:val="none"/>
        </w:rPr>
        <w:t>万元。</w:t>
      </w:r>
    </w:p>
    <w:p w14:paraId="7906BB07">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（四）验收范围</w:t>
      </w:r>
    </w:p>
    <w:p w14:paraId="05DD872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rPr>
      </w:pPr>
      <w:r>
        <w:rPr>
          <w:rFonts w:hint="eastAsia" w:ascii="Times New Roman" w:hAnsi="Times New Roman"/>
          <w:color w:val="auto"/>
          <w:sz w:val="24"/>
          <w:szCs w:val="24"/>
          <w:highlight w:val="none"/>
          <w:lang w:eastAsia="zh-CN"/>
        </w:rPr>
        <w:t>山东恒晟智能科技有限公司年喷涂33万平方米铝单板项目(一期)</w:t>
      </w:r>
    </w:p>
    <w:p w14:paraId="6C54AE42">
      <w:pPr>
        <w:keepNext w:val="0"/>
        <w:keepLines w:val="0"/>
        <w:pageBreakBefore w:val="0"/>
        <w:numPr>
          <w:ilvl w:val="0"/>
          <w:numId w:val="0"/>
        </w:numPr>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highlight w:val="red"/>
        </w:rPr>
      </w:pPr>
      <w:r>
        <w:rPr>
          <w:rFonts w:hint="eastAsia" w:asciiTheme="minorEastAsia" w:hAnsiTheme="minorEastAsia" w:eastAsiaTheme="minorEastAsia" w:cstheme="minorEastAsia"/>
          <w:b/>
          <w:sz w:val="28"/>
          <w:szCs w:val="28"/>
          <w:highlight w:val="none"/>
          <w:lang w:val="en-US" w:eastAsia="zh-CN"/>
        </w:rPr>
        <w:t>二、</w:t>
      </w:r>
      <w:r>
        <w:rPr>
          <w:rFonts w:hint="eastAsia" w:asciiTheme="minorEastAsia" w:hAnsiTheme="minorEastAsia" w:eastAsiaTheme="minorEastAsia" w:cstheme="minorEastAsia"/>
          <w:b/>
          <w:sz w:val="28"/>
          <w:szCs w:val="28"/>
          <w:highlight w:val="none"/>
        </w:rPr>
        <w:t>工程变动情况</w:t>
      </w:r>
    </w:p>
    <w:p w14:paraId="66771EDA">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建设项目的性质、规模、地点、采用的生产工艺或者防治污染、防止生态破坏的措施发生重大变动的，才属重大变更。依据以上《关于印发〈污染影响类建设项目重大变动清单（试行）〉的通知》（环办环评函[2020]688号）分析，本项目不存在重大变动。</w:t>
      </w:r>
    </w:p>
    <w:p w14:paraId="52F1312A">
      <w:pPr>
        <w:keepNext w:val="0"/>
        <w:keepLines w:val="0"/>
        <w:pageBreakBefore w:val="0"/>
        <w:kinsoku/>
        <w:wordWrap/>
        <w:overflowPunct/>
        <w:topLinePunct w:val="0"/>
        <w:bidi w:val="0"/>
        <w:adjustRightInd w:val="0"/>
        <w:spacing w:line="560" w:lineRule="exact"/>
        <w:ind w:firstLine="568" w:firstLineChars="202"/>
        <w:jc w:val="left"/>
        <w:textAlignment w:val="auto"/>
        <w:outlineLvl w:val="9"/>
        <w:rPr>
          <w:rFonts w:hint="eastAsia" w:asciiTheme="minorEastAsia" w:hAnsiTheme="minorEastAsia" w:eastAsiaTheme="minorEastAsia" w:cstheme="minorEastAsia"/>
          <w:b/>
          <w:kern w:val="0"/>
          <w:sz w:val="28"/>
          <w:szCs w:val="28"/>
          <w:shd w:val="clear" w:color="auto" w:fill="FFFFFF"/>
        </w:rPr>
      </w:pPr>
      <w:r>
        <w:rPr>
          <w:rFonts w:hint="eastAsia" w:asciiTheme="minorEastAsia" w:hAnsiTheme="minorEastAsia" w:eastAsiaTheme="minorEastAsia" w:cstheme="minorEastAsia"/>
          <w:b/>
          <w:kern w:val="0"/>
          <w:sz w:val="28"/>
          <w:szCs w:val="28"/>
          <w:shd w:val="clear" w:color="auto" w:fill="FFFFFF"/>
          <w:lang w:bidi="ar"/>
        </w:rPr>
        <w:t>三、环境保护设施建设情况</w:t>
      </w:r>
    </w:p>
    <w:p w14:paraId="3797C622">
      <w:pPr>
        <w:keepNext w:val="0"/>
        <w:keepLines w:val="0"/>
        <w:pageBreakBefore w:val="0"/>
        <w:tabs>
          <w:tab w:val="left" w:pos="1362"/>
        </w:tabs>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（一）废水</w:t>
      </w:r>
    </w:p>
    <w:p w14:paraId="05CA7082">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Style w:val="33"/>
          <w:rFonts w:hint="eastAsia" w:ascii="Times New Roman" w:hAnsi="Times New Roman" w:eastAsia="宋体" w:cs="Times New Roman"/>
          <w:sz w:val="24"/>
          <w:lang w:val="en-US" w:eastAsia="zh-CN"/>
        </w:rPr>
      </w:pPr>
      <w:r>
        <w:rPr>
          <w:rStyle w:val="33"/>
          <w:rFonts w:hint="eastAsia" w:ascii="Times New Roman" w:hAnsi="Times New Roman" w:eastAsia="宋体" w:cs="Times New Roman"/>
          <w:sz w:val="24"/>
          <w:lang w:val="en-US" w:eastAsia="zh-CN"/>
        </w:rPr>
        <w:t>项目产生的废水主要为水帘废水，经絮凝沉淀后循环使用，不外排。</w:t>
      </w:r>
    </w:p>
    <w:p w14:paraId="5BD196BC">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Style w:val="33"/>
          <w:rFonts w:hint="eastAsia" w:ascii="Times New Roman" w:hAnsi="Times New Roman" w:eastAsia="宋体" w:cs="Times New Roman"/>
          <w:sz w:val="24"/>
          <w:lang w:val="en-US" w:eastAsia="zh-CN"/>
        </w:rPr>
      </w:pPr>
      <w:r>
        <w:rPr>
          <w:rStyle w:val="33"/>
          <w:rFonts w:hint="eastAsia" w:ascii="Times New Roman" w:hAnsi="Times New Roman" w:eastAsia="宋体" w:cs="Times New Roman"/>
          <w:sz w:val="24"/>
          <w:lang w:val="en-US" w:eastAsia="zh-CN"/>
        </w:rPr>
        <w:t>项目水帘用水对水质要求不高，喷漆工序在密闭喷漆室内进行，水帘废水中除吸附的漆雾颗粒外无其他杂质，通过加入絮凝剂使漆渣沉淀在水帘柜底定期对其打捞后，水帘废水能够进行循环使用</w:t>
      </w:r>
      <w:r>
        <w:rPr>
          <w:rStyle w:val="33"/>
          <w:rFonts w:hint="eastAsia" w:ascii="Times New Roman" w:hAnsi="Times New Roman" w:cs="Times New Roman"/>
          <w:sz w:val="24"/>
          <w:lang w:val="en-US" w:eastAsia="zh-CN"/>
        </w:rPr>
        <w:t>。</w:t>
      </w:r>
    </w:p>
    <w:p w14:paraId="03886FF5">
      <w:pPr>
        <w:keepNext w:val="0"/>
        <w:keepLines w:val="0"/>
        <w:pageBreakBefore w:val="0"/>
        <w:kinsoku/>
        <w:wordWrap/>
        <w:overflowPunct/>
        <w:topLinePunct w:val="0"/>
        <w:bidi w:val="0"/>
        <w:adjustRightInd w:val="0"/>
        <w:spacing w:line="360" w:lineRule="auto"/>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（二）废气</w:t>
      </w:r>
    </w:p>
    <w:p w14:paraId="61FEFE66">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Style w:val="33"/>
          <w:rFonts w:hint="eastAsia" w:ascii="Times New Roman" w:hAnsi="Times New Roman" w:eastAsia="宋体" w:cs="Times New Roman"/>
          <w:color w:val="auto"/>
          <w:sz w:val="24"/>
          <w:szCs w:val="22"/>
          <w:highlight w:val="none"/>
          <w:lang w:val="en-US" w:eastAsia="zh-CN" w:bidi="ar-SA"/>
        </w:rPr>
      </w:pPr>
      <w:r>
        <w:rPr>
          <w:rStyle w:val="33"/>
          <w:rFonts w:hint="eastAsia" w:ascii="Times New Roman" w:hAnsi="Times New Roman" w:eastAsia="宋体" w:cs="Times New Roman"/>
          <w:color w:val="auto"/>
          <w:sz w:val="24"/>
          <w:szCs w:val="22"/>
          <w:highlight w:val="none"/>
          <w:lang w:val="en-US" w:eastAsia="zh-CN" w:bidi="ar-SA"/>
        </w:rPr>
        <w:t xml:space="preserve">项目运营期废气主要是喷塑废气、喷塑固化废气，调漆、喷漆、流平、烘干工序产生的有机废气，液化石油气燃烧废气。 </w:t>
      </w:r>
    </w:p>
    <w:p w14:paraId="6D365C03">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Style w:val="33"/>
          <w:rFonts w:hint="eastAsia" w:ascii="Times New Roman" w:hAnsi="Times New Roman" w:eastAsia="宋体" w:cs="Times New Roman"/>
          <w:color w:val="auto"/>
          <w:sz w:val="24"/>
          <w:szCs w:val="22"/>
          <w:highlight w:val="none"/>
          <w:lang w:val="en-US" w:eastAsia="zh-CN" w:bidi="ar-SA"/>
        </w:rPr>
      </w:pPr>
      <w:r>
        <w:rPr>
          <w:rStyle w:val="33"/>
          <w:rFonts w:hint="eastAsia" w:ascii="Times New Roman" w:hAnsi="Times New Roman" w:eastAsia="宋体" w:cs="Times New Roman"/>
          <w:color w:val="auto"/>
          <w:sz w:val="24"/>
          <w:szCs w:val="22"/>
          <w:highlight w:val="none"/>
          <w:lang w:val="en-US" w:eastAsia="zh-CN" w:bidi="ar-SA"/>
        </w:rPr>
        <w:t>（1） 有组织废气</w:t>
      </w:r>
    </w:p>
    <w:p w14:paraId="3FC071DC">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Style w:val="33"/>
          <w:rFonts w:hint="eastAsia" w:ascii="Times New Roman" w:hAnsi="Times New Roman" w:eastAsia="宋体" w:cs="Times New Roman"/>
          <w:color w:val="auto"/>
          <w:sz w:val="24"/>
          <w:szCs w:val="22"/>
          <w:highlight w:val="none"/>
          <w:lang w:val="en-US" w:eastAsia="zh-CN" w:bidi="ar-SA"/>
        </w:rPr>
      </w:pPr>
      <w:r>
        <w:rPr>
          <w:rStyle w:val="33"/>
          <w:rFonts w:hint="eastAsia" w:ascii="Times New Roman" w:hAnsi="Times New Roman" w:eastAsia="宋体" w:cs="Times New Roman"/>
          <w:color w:val="auto"/>
          <w:sz w:val="24"/>
          <w:szCs w:val="22"/>
          <w:highlight w:val="none"/>
          <w:lang w:val="en-US" w:eastAsia="zh-CN" w:bidi="ar-SA"/>
        </w:rPr>
        <w:t>①喷塑固化废气、喷漆废气</w:t>
      </w:r>
    </w:p>
    <w:p w14:paraId="232F91A8">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Style w:val="33"/>
          <w:rFonts w:hint="eastAsia" w:ascii="Times New Roman" w:hAnsi="Times New Roman" w:eastAsia="宋体" w:cs="Times New Roman"/>
          <w:color w:val="auto"/>
          <w:sz w:val="24"/>
          <w:szCs w:val="22"/>
          <w:highlight w:val="none"/>
          <w:lang w:val="en-US" w:eastAsia="zh-CN" w:bidi="ar-SA"/>
        </w:rPr>
      </w:pPr>
      <w:r>
        <w:rPr>
          <w:rStyle w:val="33"/>
          <w:rFonts w:hint="eastAsia" w:ascii="Times New Roman" w:hAnsi="Times New Roman" w:eastAsia="宋体" w:cs="Times New Roman"/>
          <w:color w:val="auto"/>
          <w:sz w:val="24"/>
          <w:szCs w:val="22"/>
          <w:highlight w:val="none"/>
          <w:lang w:val="en-US" w:eastAsia="zh-CN" w:bidi="ar-SA"/>
        </w:rPr>
        <w:t>项目喷塑与喷漆共用一条固化烘干系统，两者不同时进行，因此喷塑烘干固化废气与喷漆废气不同时排放。</w:t>
      </w:r>
    </w:p>
    <w:p w14:paraId="0335E58E">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Style w:val="33"/>
          <w:rFonts w:hint="eastAsia" w:ascii="Times New Roman" w:hAnsi="Times New Roman" w:eastAsia="宋体" w:cs="Times New Roman"/>
          <w:color w:val="auto"/>
          <w:sz w:val="24"/>
          <w:szCs w:val="22"/>
          <w:highlight w:val="none"/>
          <w:lang w:val="en-US" w:eastAsia="zh-CN" w:bidi="ar-SA"/>
        </w:rPr>
      </w:pPr>
      <w:r>
        <w:rPr>
          <w:rStyle w:val="33"/>
          <w:rFonts w:hint="eastAsia" w:ascii="Times New Roman" w:hAnsi="Times New Roman" w:eastAsia="宋体" w:cs="Times New Roman"/>
          <w:color w:val="auto"/>
          <w:sz w:val="24"/>
          <w:szCs w:val="22"/>
          <w:highlight w:val="none"/>
          <w:lang w:val="en-US" w:eastAsia="zh-CN" w:bidi="ar-SA"/>
        </w:rPr>
        <w:t>A喷塑固化废气：项目固化废气包括固化炉以液化石油气为燃料加热的燃烧烟气及固化有机废气，主要污染物为SO</w:t>
      </w:r>
      <w:r>
        <w:rPr>
          <w:rStyle w:val="33"/>
          <w:rFonts w:hint="eastAsia" w:ascii="Times New Roman" w:hAnsi="Times New Roman" w:eastAsia="宋体" w:cs="Times New Roman"/>
          <w:color w:val="auto"/>
          <w:sz w:val="24"/>
          <w:szCs w:val="22"/>
          <w:highlight w:val="none"/>
          <w:vertAlign w:val="subscript"/>
          <w:lang w:val="en-US" w:eastAsia="zh-CN" w:bidi="ar-SA"/>
        </w:rPr>
        <w:t>2</w:t>
      </w:r>
      <w:r>
        <w:rPr>
          <w:rStyle w:val="33"/>
          <w:rFonts w:hint="eastAsia" w:ascii="Times New Roman" w:hAnsi="Times New Roman" w:eastAsia="宋体" w:cs="Times New Roman"/>
          <w:color w:val="auto"/>
          <w:sz w:val="24"/>
          <w:szCs w:val="22"/>
          <w:highlight w:val="none"/>
          <w:lang w:val="en-US" w:eastAsia="zh-CN" w:bidi="ar-SA"/>
        </w:rPr>
        <w:t>、NOx、颗粒物及VOCs。固化炉配备低氮燃烧器，固化废气(包括液化石油气燃烧烟气、塑粉固化废气)经收集后进入</w:t>
      </w:r>
      <w:r>
        <w:rPr>
          <w:rStyle w:val="33"/>
          <w:rFonts w:hint="eastAsia" w:ascii="Times New Roman" w:hAnsi="Times New Roman" w:cs="Times New Roman"/>
          <w:color w:val="auto"/>
          <w:sz w:val="24"/>
          <w:szCs w:val="22"/>
          <w:highlight w:val="none"/>
          <w:lang w:val="en-US" w:eastAsia="zh-CN" w:bidi="ar-SA"/>
        </w:rPr>
        <w:t>水帘+过滤棉+活性炭吸附脱附+催化燃烧设备</w:t>
      </w:r>
      <w:r>
        <w:rPr>
          <w:rStyle w:val="33"/>
          <w:rFonts w:hint="eastAsia" w:ascii="Times New Roman" w:hAnsi="Times New Roman" w:eastAsia="宋体" w:cs="Times New Roman"/>
          <w:color w:val="auto"/>
          <w:sz w:val="24"/>
          <w:szCs w:val="22"/>
          <w:highlight w:val="none"/>
          <w:lang w:val="en-US" w:eastAsia="zh-CN" w:bidi="ar-SA"/>
        </w:rPr>
        <w:t>处理，由15m高排气筒DA001 排放。</w:t>
      </w:r>
    </w:p>
    <w:p w14:paraId="0D6C5832">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Style w:val="33"/>
          <w:rFonts w:hint="eastAsia" w:ascii="Times New Roman" w:hAnsi="Times New Roman" w:eastAsia="宋体" w:cs="Times New Roman"/>
          <w:color w:val="auto"/>
          <w:sz w:val="24"/>
          <w:szCs w:val="22"/>
          <w:highlight w:val="none"/>
          <w:lang w:val="en-US" w:eastAsia="zh-CN" w:bidi="ar-SA"/>
        </w:rPr>
      </w:pPr>
      <w:r>
        <w:rPr>
          <w:rStyle w:val="33"/>
          <w:rFonts w:hint="eastAsia" w:ascii="Times New Roman" w:hAnsi="Times New Roman" w:eastAsia="宋体" w:cs="Times New Roman"/>
          <w:color w:val="auto"/>
          <w:sz w:val="24"/>
          <w:szCs w:val="22"/>
          <w:highlight w:val="none"/>
          <w:lang w:val="en-US" w:eastAsia="zh-CN" w:bidi="ar-SA"/>
        </w:rPr>
        <w:t>B喷漆废气：项目喷涂采用压缩空气进行，使整个过程保持微负压状态，漆料从喷头喷射到物件表面，附着在物件表面即为喷漆成功，无法附着在物件表面的部分以漆雾的形式散发出来。项目喷漆室为水帘式喷漆室，内进行调漆、喷漆、喷枪清洗，流平在流平通道内，烘干在烘干室内进行，喷漆室、流平通道、烘干室全部负压收集后，经一套“</w:t>
      </w:r>
      <w:r>
        <w:rPr>
          <w:rStyle w:val="33"/>
          <w:rFonts w:hint="eastAsia" w:ascii="Times New Roman" w:hAnsi="Times New Roman" w:cs="Times New Roman"/>
          <w:color w:val="auto"/>
          <w:sz w:val="24"/>
          <w:szCs w:val="22"/>
          <w:highlight w:val="none"/>
          <w:lang w:val="en-US" w:eastAsia="zh-CN" w:bidi="ar-SA"/>
        </w:rPr>
        <w:t>水帘+过滤棉+活性炭吸附脱附+催化燃烧设备</w:t>
      </w:r>
      <w:r>
        <w:rPr>
          <w:rStyle w:val="33"/>
          <w:rFonts w:hint="eastAsia" w:ascii="Times New Roman" w:hAnsi="Times New Roman" w:eastAsia="宋体" w:cs="Times New Roman"/>
          <w:color w:val="auto"/>
          <w:sz w:val="24"/>
          <w:szCs w:val="22"/>
          <w:highlight w:val="none"/>
          <w:lang w:val="en-US" w:eastAsia="zh-CN" w:bidi="ar-SA"/>
        </w:rPr>
        <w:t>”处理废气，处理后经一根15米高排气筒DA001排放</w:t>
      </w:r>
    </w:p>
    <w:p w14:paraId="6C06C499">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Style w:val="33"/>
          <w:rFonts w:hint="eastAsia" w:ascii="Times New Roman" w:hAnsi="Times New Roman" w:eastAsia="宋体" w:cs="Times New Roman"/>
          <w:color w:val="auto"/>
          <w:sz w:val="24"/>
          <w:szCs w:val="22"/>
          <w:highlight w:val="none"/>
          <w:lang w:val="en-US" w:eastAsia="zh-CN" w:bidi="ar-SA"/>
        </w:rPr>
      </w:pPr>
      <w:r>
        <w:rPr>
          <w:rStyle w:val="33"/>
          <w:rFonts w:hint="eastAsia" w:ascii="Times New Roman" w:hAnsi="Times New Roman" w:eastAsia="宋体" w:cs="Times New Roman"/>
          <w:color w:val="auto"/>
          <w:sz w:val="24"/>
          <w:szCs w:val="22"/>
          <w:highlight w:val="none"/>
          <w:lang w:val="en-US" w:eastAsia="zh-CN" w:bidi="ar-SA"/>
        </w:rPr>
        <w:t>②喷塑粉尘：项目使用塑粉进行喷塑，喷塑工序会产生颗粒物。喷塑在喷塑室内进行，喷塑室在工件和人员进出处设软帘，粉尘经喷塑柜自带滤芯收集处理后引至外接旋风布袋除尘器，经处理后由1根15m高排气筒</w:t>
      </w:r>
      <w:r>
        <w:rPr>
          <w:rStyle w:val="33"/>
          <w:rFonts w:hint="eastAsia" w:ascii="Times New Roman" w:hAnsi="Times New Roman" w:cs="Times New Roman"/>
          <w:color w:val="auto"/>
          <w:sz w:val="24"/>
          <w:szCs w:val="22"/>
          <w:highlight w:val="none"/>
          <w:lang w:val="en-US" w:eastAsia="zh-CN" w:bidi="ar-SA"/>
        </w:rPr>
        <w:t>DA003</w:t>
      </w:r>
      <w:r>
        <w:rPr>
          <w:rStyle w:val="33"/>
          <w:rFonts w:hint="eastAsia" w:ascii="Times New Roman" w:hAnsi="Times New Roman" w:eastAsia="宋体" w:cs="Times New Roman"/>
          <w:color w:val="auto"/>
          <w:sz w:val="24"/>
          <w:szCs w:val="22"/>
          <w:highlight w:val="none"/>
          <w:lang w:val="en-US" w:eastAsia="zh-CN" w:bidi="ar-SA"/>
        </w:rPr>
        <w:t>排放。</w:t>
      </w:r>
    </w:p>
    <w:p w14:paraId="2CB797BA">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Style w:val="33"/>
          <w:rFonts w:hint="eastAsia" w:ascii="Times New Roman" w:hAnsi="Times New Roman" w:eastAsia="宋体" w:cs="Times New Roman"/>
          <w:color w:val="auto"/>
          <w:sz w:val="24"/>
          <w:szCs w:val="22"/>
          <w:highlight w:val="none"/>
          <w:lang w:val="en-US" w:eastAsia="zh-CN" w:bidi="ar-SA"/>
        </w:rPr>
      </w:pPr>
      <w:r>
        <w:rPr>
          <w:rStyle w:val="33"/>
          <w:rFonts w:hint="eastAsia" w:ascii="Times New Roman" w:hAnsi="Times New Roman" w:eastAsia="宋体" w:cs="Times New Roman"/>
          <w:color w:val="auto"/>
          <w:sz w:val="24"/>
          <w:szCs w:val="22"/>
          <w:highlight w:val="none"/>
          <w:lang w:val="en-US" w:eastAsia="zh-CN" w:bidi="ar-SA"/>
        </w:rPr>
        <w:t>（2）无组织废气</w:t>
      </w:r>
    </w:p>
    <w:p w14:paraId="30F9DD29">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Style w:val="33"/>
          <w:rFonts w:hint="eastAsia" w:ascii="Times New Roman" w:hAnsi="Times New Roman" w:eastAsia="宋体" w:cs="Times New Roman"/>
          <w:color w:val="auto"/>
          <w:sz w:val="24"/>
          <w:szCs w:val="22"/>
          <w:highlight w:val="none"/>
          <w:lang w:val="en-US" w:eastAsia="zh-CN" w:bidi="ar-SA"/>
        </w:rPr>
        <w:t>项目无组织废气主要包括未被收集的有机废气和塑粉。通过设置封闭式车间，且设置专人对散落的粉尘及时清扫、洒水降尘进行无组织排放</w:t>
      </w:r>
      <w:r>
        <w:rPr>
          <w:rFonts w:hint="default" w:ascii="Times New Roman" w:hAnsi="Times New Roman" w:eastAsia="宋体" w:cs="Times New Roman"/>
          <w:b w:val="0"/>
          <w:bCs w:val="0"/>
          <w:color w:val="000000"/>
          <w:sz w:val="24"/>
          <w:szCs w:val="24"/>
          <w:highlight w:val="none"/>
          <w:lang w:val="en-US" w:eastAsia="zh-CN"/>
        </w:rPr>
        <w:t>。</w:t>
      </w:r>
    </w:p>
    <w:p w14:paraId="70E91337">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（三）噪声</w:t>
      </w:r>
    </w:p>
    <w:p w14:paraId="6293375B">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default" w:ascii="Times New Roman" w:hAnsi="Times New Roman" w:eastAsia="宋体" w:cs="Times New Roman"/>
          <w:color w:val="auto"/>
          <w:sz w:val="24"/>
          <w:szCs w:val="24"/>
          <w:lang w:val="en-US" w:eastAsia="zh-CN"/>
        </w:rPr>
        <w:t>项目运营期噪声主要喷塑生产线、环保风机等机械设备运转时产生的噪声。通过对设备设置减震基础；安装消声器、隔音罩等措施降噪。运营期厂界噪声须执行《工业企业厂界环境噪声排放标准》（GB 12348-2008）中3类标准：昼间65dB(A)、夜间55dB(A</w:t>
      </w:r>
      <w:r>
        <w:rPr>
          <w:rStyle w:val="33"/>
          <w:rFonts w:hint="eastAsia" w:ascii="Times New Roman" w:hAnsi="Times New Roman" w:cs="Times New Roman"/>
          <w:sz w:val="24"/>
          <w:lang w:val="en-US" w:eastAsia="zh-CN"/>
        </w:rPr>
        <w:t>）</w:t>
      </w:r>
      <w:r>
        <w:rPr>
          <w:rFonts w:hint="default" w:ascii="Times New Roman" w:hAnsi="Times New Roman" w:eastAsia="宋体" w:cs="Times New Roman"/>
          <w:color w:val="auto"/>
          <w:sz w:val="24"/>
          <w:szCs w:val="24"/>
          <w:lang w:val="en-US" w:eastAsia="zh-CN"/>
        </w:rPr>
        <w:t>。</w:t>
      </w:r>
    </w:p>
    <w:p w14:paraId="2EF31FED">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lang w:val="en-US" w:eastAsia="zh-CN"/>
        </w:rPr>
      </w:pPr>
      <w:r>
        <w:rPr>
          <w:rFonts w:hint="eastAsia" w:asciiTheme="minorEastAsia" w:hAnsiTheme="minorEastAsia" w:eastAsiaTheme="minorEastAsia" w:cstheme="minorEastAsia"/>
          <w:b/>
          <w:sz w:val="28"/>
          <w:szCs w:val="28"/>
          <w:shd w:val="clear" w:color="auto" w:fill="FFFFFF"/>
          <w:lang w:bidi="ar"/>
        </w:rPr>
        <w:t>（四）固</w:t>
      </w:r>
      <w:r>
        <w:rPr>
          <w:rFonts w:hint="eastAsia" w:asciiTheme="minorEastAsia" w:hAnsiTheme="minorEastAsia" w:eastAsiaTheme="minorEastAsia" w:cstheme="minorEastAsia"/>
          <w:b/>
          <w:sz w:val="28"/>
          <w:szCs w:val="28"/>
          <w:shd w:val="clear" w:color="auto" w:fill="FFFFFF"/>
          <w:lang w:val="en-US" w:eastAsia="zh-CN" w:bidi="ar"/>
        </w:rPr>
        <w:t>体</w:t>
      </w:r>
      <w:r>
        <w:rPr>
          <w:rFonts w:hint="eastAsia" w:asciiTheme="minorEastAsia" w:hAnsiTheme="minorEastAsia" w:eastAsiaTheme="minorEastAsia" w:cstheme="minorEastAsia"/>
          <w:b/>
          <w:sz w:val="28"/>
          <w:szCs w:val="28"/>
          <w:shd w:val="clear" w:color="auto" w:fill="FFFFFF"/>
          <w:lang w:bidi="ar"/>
        </w:rPr>
        <w:t>废</w:t>
      </w:r>
      <w:r>
        <w:rPr>
          <w:rFonts w:hint="eastAsia" w:asciiTheme="minorEastAsia" w:hAnsiTheme="minorEastAsia" w:eastAsiaTheme="minorEastAsia" w:cstheme="minorEastAsia"/>
          <w:b/>
          <w:sz w:val="28"/>
          <w:szCs w:val="28"/>
          <w:shd w:val="clear" w:color="auto" w:fill="FFFFFF"/>
          <w:lang w:val="en-US" w:eastAsia="zh-CN" w:bidi="ar"/>
        </w:rPr>
        <w:t>物</w:t>
      </w:r>
    </w:p>
    <w:p w14:paraId="4F67EDBF">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（1）一般固体废物</w:t>
      </w:r>
    </w:p>
    <w:p w14:paraId="73066C38">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①除尘器集尘：布袋除尘器收集的粉尘量属于一般固体废物，代码为999-004-66，收集后外售综合利用。</w:t>
      </w:r>
    </w:p>
    <w:p w14:paraId="7C037E87">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②废滤芯：喷塑设备自带滤芯需要定期更换属于一般固废，一般固体废物代码为999-004-99，由厂家回收重新利用。</w:t>
      </w:r>
    </w:p>
    <w:p w14:paraId="295DF970">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③废水性漆桶：水性漆涂料包装产生废水性漆桶，一般固体废物代码为999-004-99，收集后外售综合利用。</w:t>
      </w:r>
    </w:p>
    <w:p w14:paraId="4D1FC2B1">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④废水性漆渣：项目喷水性漆时产生漆渣属于一般固废，一般固体废物代码为999-004-99，由环卫部门定期清运。</w:t>
      </w:r>
    </w:p>
    <w:p w14:paraId="21B15FAC">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⑤废布袋：当布袋除尘器中的布袋无法达到核定去除效果时需要进行更换，本次按每年更换一次，属于一般固体废物代码为999-004-99，收集后委托环卫部门定期清运。</w:t>
      </w:r>
    </w:p>
    <w:p w14:paraId="76CF59A0">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（2）危险废物</w:t>
      </w:r>
    </w:p>
    <w:p w14:paraId="4378E5AF">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①废活性炭：项目采用“活性炭吸附”来吸附有机废气。活性炭一年更换一次，属于危险废物HW49</w:t>
      </w:r>
      <w:r>
        <w:rPr>
          <w:rFonts w:hint="eastAsia" w:ascii="Times New Roman" w:hAnsi="Times New Roman"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900-039-49。收集后暂存于危废间，委托有危废处理资质的单位处理。</w:t>
      </w:r>
    </w:p>
    <w:p w14:paraId="36B07B66">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②废催化剂：项目废气处理装置中使用催化燃烧装置，内含催化剂催化，催化剂需要每3年更换一次</w:t>
      </w:r>
      <w:r>
        <w:rPr>
          <w:rFonts w:hint="eastAsia" w:ascii="Times New Roman" w:hAnsi="Times New Roman"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催化剂属于蜂窝状的贵金属铂、金、钯等混合贵金属，属于危险废物HW46</w:t>
      </w:r>
      <w:r>
        <w:rPr>
          <w:rFonts w:hint="eastAsia" w:ascii="Times New Roman" w:hAnsi="Times New Roman"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900-037-46。收集后暂存于危废间，委托有危废处理资质的单位处理。</w:t>
      </w:r>
    </w:p>
    <w:p w14:paraId="278CC0F5">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③废过滤棉：项目废过滤棉属于危险废物HW49</w:t>
      </w:r>
      <w:r>
        <w:rPr>
          <w:rFonts w:hint="eastAsia" w:ascii="Times New Roman" w:hAnsi="Times New Roman"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900-041-49。收集后暂存于危废间，委托有危废处理资质的单位处理。</w:t>
      </w:r>
    </w:p>
    <w:p w14:paraId="10F6DAC3">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④废液压油：项目运营过程中设备维护会产生废液压油，属于HW08</w:t>
      </w:r>
      <w:r>
        <w:rPr>
          <w:rFonts w:hint="eastAsia" w:ascii="Times New Roman" w:hAnsi="Times New Roman"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900-218-08，收集后委托有危废资质单位处置。</w:t>
      </w:r>
    </w:p>
    <w:p w14:paraId="2F205613">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⑤废润滑油：项目运营过程中设备维护会产生废润滑油，属于HW08</w:t>
      </w:r>
      <w:r>
        <w:rPr>
          <w:rFonts w:hint="eastAsia" w:ascii="Times New Roman" w:hAnsi="Times New Roman"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900-217-08，收集后委托有危废资质单位处置。</w:t>
      </w:r>
    </w:p>
    <w:p w14:paraId="623E87D7">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eastAsia="宋体" w:cs="Times New Roman"/>
          <w:color w:val="auto"/>
          <w:sz w:val="24"/>
          <w:szCs w:val="24"/>
          <w:lang w:val="en-US" w:eastAsia="zh-CN"/>
        </w:rPr>
        <w:t>⑥废油桶：项目润滑油、液压油使用桶装，废油桶属于危险废物HW08</w:t>
      </w:r>
      <w:r>
        <w:rPr>
          <w:rFonts w:hint="eastAsia" w:ascii="Times New Roman" w:hAnsi="Times New Roman"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900-249-08，暂存于危险废物暂存间内，定期委托有资质单位集中处理</w:t>
      </w:r>
      <w:r>
        <w:rPr>
          <w:rFonts w:hint="default" w:ascii="Times New Roman" w:hAnsi="Times New Roman" w:eastAsia="宋体" w:cs="Times New Roman"/>
          <w:color w:val="auto"/>
          <w:sz w:val="24"/>
          <w:szCs w:val="24"/>
          <w:lang w:val="en-US" w:eastAsia="zh-CN"/>
        </w:rPr>
        <w:t>。</w:t>
      </w:r>
    </w:p>
    <w:p w14:paraId="4CB22796">
      <w:pPr>
        <w:pStyle w:val="31"/>
        <w:keepNext w:val="0"/>
        <w:keepLines w:val="0"/>
        <w:pageBreakBefore w:val="0"/>
        <w:widowControl/>
        <w:numPr>
          <w:ilvl w:val="0"/>
          <w:numId w:val="0"/>
        </w:numPr>
        <w:tabs>
          <w:tab w:val="left" w:pos="0"/>
        </w:tabs>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bCs/>
          <w:sz w:val="28"/>
          <w:szCs w:val="28"/>
          <w:shd w:val="clear" w:color="auto" w:fill="FFFFFF"/>
        </w:rPr>
      </w:pPr>
      <w:r>
        <w:rPr>
          <w:rFonts w:hint="eastAsia" w:asciiTheme="minorEastAsia" w:hAnsiTheme="minorEastAsia" w:eastAsiaTheme="minorEastAsia" w:cstheme="minorEastAsia"/>
          <w:b/>
          <w:bCs/>
          <w:sz w:val="28"/>
          <w:szCs w:val="28"/>
          <w:shd w:val="clear" w:color="auto" w:fill="FFFFFF"/>
          <w:lang w:eastAsia="zh-CN"/>
        </w:rPr>
        <w:t>四、</w:t>
      </w:r>
      <w:r>
        <w:rPr>
          <w:rFonts w:hint="eastAsia" w:asciiTheme="minorEastAsia" w:hAnsiTheme="minorEastAsia" w:eastAsiaTheme="minorEastAsia" w:cstheme="minorEastAsia"/>
          <w:b/>
          <w:bCs/>
          <w:sz w:val="28"/>
          <w:szCs w:val="28"/>
          <w:shd w:val="clear" w:color="auto" w:fill="FFFFFF"/>
        </w:rPr>
        <w:t>环境保护设施调试效果</w:t>
      </w:r>
    </w:p>
    <w:p w14:paraId="6404D5EC">
      <w:pPr>
        <w:pStyle w:val="32"/>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40" w:firstLineChars="1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第三方环境监测公司出具了《</w:t>
      </w:r>
      <w:r>
        <w:rPr>
          <w:rFonts w:hint="eastAsia" w:ascii="Times New Roman" w:hAnsi="Times New Roman" w:cs="Times New Roman"/>
          <w:color w:val="auto"/>
          <w:sz w:val="24"/>
          <w:szCs w:val="24"/>
          <w:highlight w:val="none"/>
          <w:lang w:eastAsia="zh-CN"/>
        </w:rPr>
        <w:t>山东恒晟智能科技有限公司年喷涂33万平方米铝单板项目(一期)</w:t>
      </w:r>
      <w:r>
        <w:rPr>
          <w:rFonts w:hint="eastAsia" w:ascii="Times New Roman" w:hAnsi="Times New Roman" w:cs="Times New Roman" w:eastAsiaTheme="minorEastAsia"/>
          <w:color w:val="000000"/>
          <w:sz w:val="24"/>
          <w:szCs w:val="24"/>
          <w:highlight w:val="none"/>
          <w:lang w:val="en-US" w:eastAsia="zh-CN"/>
        </w:rPr>
        <w:t>竣工环境保护验收监测报告》，验收监测期间，项目生产工况稳定，生产负荷均在75%以上，符合验收监测应在工况的要求。监测结果表明：</w:t>
      </w:r>
    </w:p>
    <w:p w14:paraId="6AB3C75A">
      <w:pPr>
        <w:pStyle w:val="32"/>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default"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1</w:t>
      </w:r>
      <w:r>
        <w:rPr>
          <w:rFonts w:hint="default" w:ascii="Times New Roman" w:hAnsi="Times New Roman" w:cs="Times New Roman" w:eastAsiaTheme="minorEastAsia"/>
          <w:b/>
          <w:bCs/>
          <w:kern w:val="2"/>
          <w:sz w:val="28"/>
          <w:szCs w:val="28"/>
          <w:lang w:val="en-US" w:eastAsia="zh-CN" w:bidi="ar-SA"/>
        </w:rPr>
        <w:t>、废气</w:t>
      </w:r>
      <w:bookmarkStart w:id="0" w:name="_GoBack"/>
      <w:bookmarkEnd w:id="0"/>
    </w:p>
    <w:p w14:paraId="5C212FA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hint="eastAsia" w:ascii="Times New Roman" w:hAnsi="Times New Roman" w:eastAsia="宋体" w:cs="Times New Roman"/>
          <w:color w:val="auto"/>
          <w:sz w:val="24"/>
          <w:szCs w:val="24"/>
          <w:highlight w:val="none"/>
          <w:lang w:eastAsia="zh-CN"/>
        </w:rPr>
      </w:pPr>
      <w:r>
        <w:rPr>
          <w:rFonts w:ascii="Times New Roman" w:hAnsi="Times New Roman" w:eastAsia="宋体" w:cs="Times New Roman"/>
          <w:b w:val="0"/>
          <w:bCs w:val="0"/>
          <w:color w:val="auto"/>
          <w:sz w:val="24"/>
          <w:szCs w:val="24"/>
          <w:highlight w:val="none"/>
        </w:rPr>
        <w:t>验收监测期间，</w:t>
      </w:r>
      <w:r>
        <w:rPr>
          <w:rFonts w:hint="eastAsia" w:ascii="Times New Roman" w:hAnsi="Times New Roman" w:eastAsia="宋体" w:cs="Times New Roman"/>
          <w:b w:val="0"/>
          <w:bCs w:val="0"/>
          <w:color w:val="auto"/>
          <w:sz w:val="24"/>
          <w:szCs w:val="24"/>
          <w:highlight w:val="none"/>
        </w:rPr>
        <w:t>有组织</w:t>
      </w:r>
      <w:r>
        <w:rPr>
          <w:rFonts w:ascii="Times New Roman" w:hAnsi="Times New Roman" w:eastAsia="宋体" w:cs="Times New Roman"/>
          <w:b w:val="0"/>
          <w:bCs w:val="0"/>
          <w:color w:val="auto"/>
          <w:sz w:val="24"/>
          <w:szCs w:val="24"/>
          <w:highlight w:val="none"/>
        </w:rPr>
        <w:t>颗粒物</w:t>
      </w:r>
      <w:r>
        <w:rPr>
          <w:rFonts w:hint="eastAsia" w:ascii="Times New Roman" w:hAnsi="Times New Roman" w:eastAsia="宋体" w:cs="Times New Roman"/>
          <w:b w:val="0"/>
          <w:bCs w:val="0"/>
          <w:color w:val="auto"/>
          <w:sz w:val="24"/>
          <w:szCs w:val="24"/>
          <w:highlight w:val="none"/>
          <w:lang w:eastAsia="zh-CN"/>
        </w:rPr>
        <w:t>、二氧化硫、氮氧化物</w:t>
      </w:r>
      <w:r>
        <w:rPr>
          <w:rFonts w:hint="eastAsia" w:ascii="Times New Roman" w:hAnsi="Times New Roman" w:eastAsia="宋体" w:cs="Times New Roman"/>
          <w:b w:val="0"/>
          <w:bCs w:val="0"/>
          <w:color w:val="auto"/>
          <w:sz w:val="24"/>
          <w:szCs w:val="24"/>
          <w:highlight w:val="none"/>
        </w:rPr>
        <w:t>最高排放浓度</w:t>
      </w:r>
      <w:r>
        <w:rPr>
          <w:rFonts w:hint="eastAsia" w:ascii="Times New Roman" w:hAnsi="Times New Roman" w:eastAsia="宋体" w:cs="Times New Roman"/>
          <w:b w:val="0"/>
          <w:bCs w:val="0"/>
          <w:color w:val="auto"/>
          <w:sz w:val="24"/>
          <w:szCs w:val="24"/>
          <w:highlight w:val="none"/>
          <w:lang w:eastAsia="zh-CN"/>
        </w:rPr>
        <w:t>分别为</w:t>
      </w:r>
      <w:r>
        <w:rPr>
          <w:rFonts w:hint="eastAsia" w:ascii="Times New Roman" w:hAnsi="Times New Roman" w:eastAsia="宋体" w:cs="Times New Roman"/>
          <w:b w:val="0"/>
          <w:bCs w:val="0"/>
          <w:color w:val="auto"/>
          <w:sz w:val="24"/>
          <w:szCs w:val="24"/>
          <w:highlight w:val="none"/>
          <w:lang w:val="en-US" w:eastAsia="zh-CN"/>
        </w:rPr>
        <w:t>2.6</w:t>
      </w:r>
      <w:r>
        <w:rPr>
          <w:rFonts w:ascii="Times New Roman" w:hAnsi="Times New Roman" w:eastAsia="宋体" w:cs="Times New Roman"/>
          <w:b w:val="0"/>
          <w:bCs w:val="0"/>
          <w:color w:val="auto"/>
          <w:sz w:val="24"/>
          <w:szCs w:val="24"/>
          <w:highlight w:val="none"/>
        </w:rPr>
        <w:t>mg/m</w:t>
      </w:r>
      <w:r>
        <w:rPr>
          <w:rFonts w:ascii="Times New Roman" w:hAnsi="Times New Roman" w:eastAsia="宋体" w:cs="Times New Roman"/>
          <w:b w:val="0"/>
          <w:bCs w:val="0"/>
          <w:color w:val="auto"/>
          <w:sz w:val="24"/>
          <w:szCs w:val="24"/>
          <w:highlight w:val="none"/>
          <w:vertAlign w:val="superscript"/>
        </w:rPr>
        <w:t>3</w:t>
      </w:r>
      <w:r>
        <w:rPr>
          <w:rFonts w:hint="eastAsia" w:ascii="Times New Roman" w:hAnsi="Times New Roman" w:eastAsia="宋体" w:cs="Times New Roman"/>
          <w:b w:val="0"/>
          <w:bCs w:val="0"/>
          <w:color w:val="auto"/>
          <w:sz w:val="24"/>
          <w:szCs w:val="24"/>
          <w:highlight w:val="none"/>
          <w:vertAlign w:val="baseline"/>
          <w:lang w:eastAsia="zh-CN"/>
        </w:rPr>
        <w:t>、</w:t>
      </w:r>
      <w:r>
        <w:rPr>
          <w:rFonts w:hint="eastAsia" w:ascii="Times New Roman" w:hAnsi="Times New Roman" w:eastAsia="宋体" w:cs="Times New Roman"/>
          <w:b w:val="0"/>
          <w:bCs w:val="0"/>
          <w:color w:val="auto"/>
          <w:sz w:val="24"/>
          <w:szCs w:val="24"/>
          <w:highlight w:val="none"/>
          <w:vertAlign w:val="baseline"/>
          <w:lang w:val="en-US" w:eastAsia="zh-CN"/>
        </w:rPr>
        <w:t>&lt;3mg/m</w:t>
      </w:r>
      <w:r>
        <w:rPr>
          <w:rFonts w:hint="eastAsia" w:ascii="Times New Roman" w:hAnsi="Times New Roman" w:eastAsia="宋体" w:cs="Times New Roman"/>
          <w:b w:val="0"/>
          <w:bCs w:val="0"/>
          <w:color w:val="auto"/>
          <w:sz w:val="24"/>
          <w:szCs w:val="24"/>
          <w:highlight w:val="none"/>
          <w:vertAlign w:val="superscript"/>
          <w:lang w:val="en-US" w:eastAsia="zh-CN"/>
        </w:rPr>
        <w:t>3</w:t>
      </w:r>
      <w:r>
        <w:rPr>
          <w:rFonts w:hint="eastAsia" w:ascii="Times New Roman" w:hAnsi="Times New Roman" w:eastAsia="宋体" w:cs="Times New Roman"/>
          <w:b w:val="0"/>
          <w:bCs w:val="0"/>
          <w:color w:val="auto"/>
          <w:sz w:val="24"/>
          <w:szCs w:val="24"/>
          <w:highlight w:val="none"/>
          <w:vertAlign w:val="baseline"/>
          <w:lang w:val="en-US" w:eastAsia="zh-CN"/>
        </w:rPr>
        <w:t>、6mg/m</w:t>
      </w:r>
      <w:r>
        <w:rPr>
          <w:rFonts w:hint="eastAsia" w:ascii="Times New Roman" w:hAnsi="Times New Roman" w:eastAsia="宋体" w:cs="Times New Roman"/>
          <w:b w:val="0"/>
          <w:bCs w:val="0"/>
          <w:color w:val="auto"/>
          <w:sz w:val="24"/>
          <w:szCs w:val="24"/>
          <w:highlight w:val="none"/>
          <w:vertAlign w:val="superscript"/>
          <w:lang w:val="en-US" w:eastAsia="zh-CN"/>
        </w:rPr>
        <w:t>3</w:t>
      </w:r>
      <w:r>
        <w:rPr>
          <w:rFonts w:hint="eastAsia" w:ascii="Times New Roman" w:hAnsi="Times New Roman" w:eastAsia="宋体" w:cs="Times New Roman"/>
          <w:b w:val="0"/>
          <w:bCs w:val="0"/>
          <w:color w:val="auto"/>
          <w:sz w:val="24"/>
          <w:szCs w:val="24"/>
          <w:highlight w:val="none"/>
          <w:vertAlign w:val="baseline"/>
          <w:lang w:eastAsia="zh-CN"/>
        </w:rPr>
        <w:t>，满足</w:t>
      </w:r>
      <w:r>
        <w:rPr>
          <w:rFonts w:hint="eastAsia" w:ascii="Times New Roman" w:hAnsi="Times New Roman" w:eastAsia="宋体" w:cs="Times New Roman"/>
          <w:b w:val="0"/>
          <w:bCs w:val="0"/>
          <w:color w:val="auto"/>
          <w:sz w:val="24"/>
          <w:szCs w:val="24"/>
          <w:highlight w:val="none"/>
        </w:rPr>
        <w:t>《区域性大气污染物综合排放标准》(DB37/2376-2019)表1“一般控制区”及聊气办发2019年39号关于印发《聊城市环境空气质量改善整改工作方案》的通知限值要求</w:t>
      </w:r>
      <w:r>
        <w:rPr>
          <w:rFonts w:hint="default" w:ascii="Times New Roman" w:hAnsi="Times New Roman" w:eastAsia="宋体" w:cs="Times New Roman"/>
          <w:b w:val="0"/>
          <w:bCs w:val="0"/>
          <w:color w:val="auto"/>
          <w:sz w:val="24"/>
          <w:szCs w:val="24"/>
          <w:highlight w:val="none"/>
          <w:lang w:eastAsia="zh-CN"/>
        </w:rPr>
        <w:t>：</w:t>
      </w:r>
      <w:r>
        <w:rPr>
          <w:rFonts w:hint="eastAsia" w:ascii="Times New Roman" w:hAnsi="Times New Roman" w:eastAsia="宋体" w:cs="Times New Roman"/>
          <w:b w:val="0"/>
          <w:bCs w:val="0"/>
          <w:color w:val="auto"/>
          <w:sz w:val="24"/>
          <w:szCs w:val="24"/>
          <w:highlight w:val="none"/>
          <w:lang w:eastAsia="zh-CN"/>
        </w:rPr>
        <w:t>颗粒物</w:t>
      </w:r>
      <w:r>
        <w:rPr>
          <w:rFonts w:hint="eastAsia" w:ascii="Times New Roman" w:hAnsi="Times New Roman" w:eastAsia="宋体"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lang w:eastAsia="zh-CN"/>
        </w:rPr>
        <w:t>0mg/m</w:t>
      </w:r>
      <w:r>
        <w:rPr>
          <w:rFonts w:hint="default" w:ascii="Times New Roman" w:hAnsi="Times New Roman" w:eastAsia="宋体" w:cs="Times New Roman"/>
          <w:b w:val="0"/>
          <w:bCs w:val="0"/>
          <w:color w:val="auto"/>
          <w:sz w:val="24"/>
          <w:szCs w:val="24"/>
          <w:highlight w:val="none"/>
          <w:vertAlign w:val="superscript"/>
          <w:lang w:eastAsia="zh-CN"/>
        </w:rPr>
        <w:t>3</w:t>
      </w:r>
      <w:r>
        <w:rPr>
          <w:rFonts w:hint="eastAsia" w:ascii="Times New Roman" w:hAnsi="Times New Roman" w:eastAsia="宋体" w:cs="Times New Roman"/>
          <w:b w:val="0"/>
          <w:bCs w:val="0"/>
          <w:color w:val="auto"/>
          <w:sz w:val="24"/>
          <w:szCs w:val="24"/>
          <w:highlight w:val="none"/>
          <w:vertAlign w:val="baseline"/>
          <w:lang w:eastAsia="zh-CN"/>
        </w:rPr>
        <w:t>、</w:t>
      </w:r>
      <w:r>
        <w:rPr>
          <w:rFonts w:hint="default" w:ascii="Times New Roman" w:hAnsi="Times New Roman" w:eastAsia="宋体" w:cs="Times New Roman"/>
          <w:b w:val="0"/>
          <w:bCs w:val="0"/>
          <w:color w:val="auto"/>
          <w:sz w:val="24"/>
          <w:szCs w:val="24"/>
          <w:highlight w:val="none"/>
          <w:vertAlign w:val="baseline"/>
          <w:lang w:eastAsia="zh-CN"/>
        </w:rPr>
        <w:t>二氧化硫 100mg/m</w:t>
      </w:r>
      <w:r>
        <w:rPr>
          <w:rFonts w:hint="default" w:ascii="Times New Roman" w:hAnsi="Times New Roman" w:eastAsia="宋体" w:cs="Times New Roman"/>
          <w:b w:val="0"/>
          <w:bCs w:val="0"/>
          <w:color w:val="auto"/>
          <w:sz w:val="24"/>
          <w:szCs w:val="24"/>
          <w:highlight w:val="none"/>
          <w:vertAlign w:val="superscript"/>
          <w:lang w:eastAsia="zh-CN"/>
        </w:rPr>
        <w:t>3</w:t>
      </w:r>
      <w:r>
        <w:rPr>
          <w:rFonts w:hint="default" w:ascii="Times New Roman" w:hAnsi="Times New Roman" w:eastAsia="宋体" w:cs="Times New Roman"/>
          <w:b w:val="0"/>
          <w:bCs w:val="0"/>
          <w:color w:val="auto"/>
          <w:sz w:val="24"/>
          <w:szCs w:val="24"/>
          <w:highlight w:val="none"/>
          <w:vertAlign w:val="baseline"/>
          <w:lang w:eastAsia="zh-CN"/>
        </w:rPr>
        <w:t>、氮氧化物 50mg/m</w:t>
      </w:r>
      <w:r>
        <w:rPr>
          <w:rFonts w:hint="default" w:ascii="Times New Roman" w:hAnsi="Times New Roman" w:eastAsia="宋体" w:cs="Times New Roman"/>
          <w:b w:val="0"/>
          <w:bCs w:val="0"/>
          <w:color w:val="auto"/>
          <w:sz w:val="24"/>
          <w:szCs w:val="24"/>
          <w:highlight w:val="none"/>
          <w:vertAlign w:val="superscript"/>
          <w:lang w:eastAsia="zh-CN"/>
        </w:rPr>
        <w:t>3</w:t>
      </w:r>
      <w:r>
        <w:rPr>
          <w:rFonts w:hint="eastAsia" w:ascii="Times New Roman" w:hAnsi="Times New Roman" w:eastAsia="宋体" w:cs="Times New Roman"/>
          <w:b w:val="0"/>
          <w:bCs w:val="0"/>
          <w:color w:val="auto"/>
          <w:sz w:val="24"/>
          <w:szCs w:val="24"/>
          <w:highlight w:val="none"/>
          <w:lang w:val="en-US" w:eastAsia="zh-CN"/>
        </w:rPr>
        <w:t>；有组织</w:t>
      </w:r>
      <w:r>
        <w:rPr>
          <w:rFonts w:ascii="Times New Roman" w:hAnsi="Times New Roman" w:eastAsia="宋体" w:cs="Times New Roman"/>
          <w:b w:val="0"/>
          <w:bCs w:val="0"/>
          <w:color w:val="auto"/>
          <w:sz w:val="24"/>
          <w:szCs w:val="24"/>
          <w:highlight w:val="none"/>
        </w:rPr>
        <w:t>颗粒物</w:t>
      </w:r>
      <w:r>
        <w:rPr>
          <w:rFonts w:hint="eastAsia" w:ascii="Times New Roman" w:hAnsi="Times New Roman" w:eastAsia="宋体" w:cs="Times New Roman"/>
          <w:b w:val="0"/>
          <w:bCs w:val="0"/>
          <w:color w:val="auto"/>
          <w:sz w:val="24"/>
          <w:szCs w:val="24"/>
          <w:highlight w:val="none"/>
          <w:lang w:eastAsia="zh-CN"/>
        </w:rPr>
        <w:t>、二氧化硫、氮氧化物</w:t>
      </w:r>
      <w:r>
        <w:rPr>
          <w:rFonts w:hint="eastAsia" w:ascii="Times New Roman" w:hAnsi="Times New Roman" w:eastAsia="宋体" w:cs="Times New Roman"/>
          <w:b w:val="0"/>
          <w:bCs w:val="0"/>
          <w:color w:val="auto"/>
          <w:sz w:val="24"/>
          <w:szCs w:val="24"/>
          <w:highlight w:val="none"/>
        </w:rPr>
        <w:t>最</w:t>
      </w:r>
      <w:r>
        <w:rPr>
          <w:rFonts w:hint="eastAsia" w:ascii="Times New Roman" w:hAnsi="Times New Roman" w:eastAsia="宋体" w:cs="Times New Roman"/>
          <w:b w:val="0"/>
          <w:bCs w:val="0"/>
          <w:color w:val="auto"/>
          <w:sz w:val="24"/>
          <w:szCs w:val="24"/>
          <w:highlight w:val="none"/>
          <w:lang w:val="en-US" w:eastAsia="zh-CN"/>
        </w:rPr>
        <w:t>大</w:t>
      </w:r>
      <w:r>
        <w:rPr>
          <w:rFonts w:hint="eastAsia" w:ascii="Times New Roman" w:hAnsi="Times New Roman" w:eastAsia="宋体" w:cs="Times New Roman"/>
          <w:b w:val="0"/>
          <w:bCs w:val="0"/>
          <w:color w:val="auto"/>
          <w:sz w:val="24"/>
          <w:szCs w:val="24"/>
          <w:highlight w:val="none"/>
        </w:rPr>
        <w:t>排放速率</w:t>
      </w:r>
      <w:r>
        <w:rPr>
          <w:rFonts w:hint="eastAsia" w:ascii="Times New Roman" w:hAnsi="Times New Roman" w:eastAsia="宋体" w:cs="Times New Roman"/>
          <w:b w:val="0"/>
          <w:bCs w:val="0"/>
          <w:color w:val="auto"/>
          <w:sz w:val="24"/>
          <w:szCs w:val="24"/>
          <w:highlight w:val="none"/>
          <w:lang w:eastAsia="zh-CN"/>
        </w:rPr>
        <w:t>分别</w:t>
      </w:r>
      <w:r>
        <w:rPr>
          <w:rFonts w:hint="eastAsia" w:ascii="Times New Roman" w:hAnsi="Times New Roman" w:eastAsia="宋体" w:cs="Times New Roman"/>
          <w:b w:val="0"/>
          <w:bCs w:val="0"/>
          <w:color w:val="auto"/>
          <w:sz w:val="24"/>
          <w:szCs w:val="24"/>
          <w:highlight w:val="none"/>
        </w:rPr>
        <w:t>为</w:t>
      </w:r>
      <w:r>
        <w:rPr>
          <w:rFonts w:hint="eastAsia" w:ascii="Times New Roman" w:hAnsi="Times New Roman" w:eastAsia="宋体" w:cs="Times New Roman"/>
          <w:b w:val="0"/>
          <w:bCs w:val="0"/>
          <w:color w:val="auto"/>
          <w:sz w:val="24"/>
          <w:szCs w:val="24"/>
          <w:highlight w:val="none"/>
          <w:lang w:val="en-US" w:eastAsia="zh-CN"/>
        </w:rPr>
        <w:t>0.052</w:t>
      </w:r>
      <w:r>
        <w:rPr>
          <w:rFonts w:ascii="Times New Roman" w:hAnsi="Times New Roman" w:eastAsia="宋体" w:cs="Times New Roman"/>
          <w:b w:val="0"/>
          <w:bCs w:val="0"/>
          <w:color w:val="auto"/>
          <w:sz w:val="24"/>
          <w:szCs w:val="24"/>
          <w:highlight w:val="none"/>
        </w:rPr>
        <w:t>kg/h</w:t>
      </w:r>
      <w:r>
        <w:rPr>
          <w:rFonts w:hint="eastAsia" w:ascii="Times New Roman" w:hAnsi="Times New Roman" w:eastAsia="宋体" w:cs="Times New Roman"/>
          <w:b w:val="0"/>
          <w:bCs w:val="0"/>
          <w:color w:val="auto"/>
          <w:sz w:val="24"/>
          <w:szCs w:val="24"/>
          <w:highlight w:val="none"/>
          <w:lang w:eastAsia="zh-CN"/>
        </w:rPr>
        <w:t>、</w:t>
      </w:r>
      <w:r>
        <w:rPr>
          <w:rFonts w:hint="eastAsia" w:ascii="Times New Roman" w:hAnsi="Times New Roman" w:eastAsia="宋体" w:cs="Times New Roman"/>
          <w:b w:val="0"/>
          <w:bCs w:val="0"/>
          <w:color w:val="auto"/>
          <w:sz w:val="24"/>
          <w:szCs w:val="24"/>
          <w:highlight w:val="none"/>
          <w:lang w:val="en-US" w:eastAsia="zh-CN"/>
        </w:rPr>
        <w:t>0.03</w:t>
      </w:r>
      <w:r>
        <w:rPr>
          <w:rFonts w:ascii="Times New Roman" w:hAnsi="Times New Roman" w:eastAsia="宋体" w:cs="Times New Roman"/>
          <w:b w:val="0"/>
          <w:bCs w:val="0"/>
          <w:color w:val="auto"/>
          <w:sz w:val="24"/>
          <w:szCs w:val="24"/>
          <w:highlight w:val="none"/>
        </w:rPr>
        <w:t>kg/h</w:t>
      </w:r>
      <w:r>
        <w:rPr>
          <w:rFonts w:hint="eastAsia" w:ascii="Times New Roman" w:hAnsi="Times New Roman" w:eastAsia="宋体" w:cs="Times New Roman"/>
          <w:b w:val="0"/>
          <w:bCs w:val="0"/>
          <w:color w:val="auto"/>
          <w:sz w:val="24"/>
          <w:szCs w:val="24"/>
          <w:highlight w:val="none"/>
          <w:lang w:val="en-US" w:eastAsia="zh-CN"/>
        </w:rPr>
        <w:t>、0.10</w:t>
      </w:r>
      <w:r>
        <w:rPr>
          <w:rFonts w:ascii="Times New Roman" w:hAnsi="Times New Roman" w:eastAsia="宋体" w:cs="Times New Roman"/>
          <w:b w:val="0"/>
          <w:bCs w:val="0"/>
          <w:color w:val="auto"/>
          <w:sz w:val="24"/>
          <w:szCs w:val="24"/>
          <w:highlight w:val="none"/>
        </w:rPr>
        <w:t>kg/h</w:t>
      </w:r>
      <w:r>
        <w:rPr>
          <w:rFonts w:hint="eastAsia" w:ascii="Times New Roman" w:hAnsi="Times New Roman" w:eastAsia="宋体" w:cs="Times New Roman"/>
          <w:b w:val="0"/>
          <w:bCs w:val="0"/>
          <w:color w:val="auto"/>
          <w:sz w:val="24"/>
          <w:szCs w:val="24"/>
          <w:highlight w:val="none"/>
          <w:lang w:eastAsia="zh-CN"/>
        </w:rPr>
        <w:t>，</w:t>
      </w:r>
      <w:r>
        <w:rPr>
          <w:rFonts w:hint="eastAsia" w:ascii="Times New Roman" w:hAnsi="Times New Roman" w:eastAsia="宋体" w:cs="Times New Roman"/>
          <w:b w:val="0"/>
          <w:bCs w:val="0"/>
          <w:color w:val="auto"/>
          <w:sz w:val="24"/>
          <w:szCs w:val="24"/>
          <w:highlight w:val="none"/>
        </w:rPr>
        <w:t>满足《大气污染物综合排放标准》（GB 16297-1996）表2排放速率限值标准：颗粒物（15m：3.5kg/h）、二氧化硫（15m：2.6kg/h）、氮氧化物（15m：0.77kg/h）</w:t>
      </w:r>
      <w:r>
        <w:rPr>
          <w:rFonts w:hint="eastAsia" w:ascii="Times New Roman" w:hAnsi="Times New Roman" w:eastAsia="宋体" w:cs="Times New Roman"/>
          <w:b w:val="0"/>
          <w:bCs w:val="0"/>
          <w:color w:val="auto"/>
          <w:sz w:val="24"/>
          <w:szCs w:val="24"/>
          <w:highlight w:val="none"/>
          <w:lang w:eastAsia="zh-CN"/>
        </w:rPr>
        <w:t>。</w:t>
      </w:r>
      <w:r>
        <w:rPr>
          <w:rFonts w:hint="eastAsia" w:ascii="Times New Roman" w:hAnsi="Times New Roman" w:eastAsia="宋体" w:cs="Times New Roman"/>
          <w:b w:val="0"/>
          <w:bCs w:val="0"/>
          <w:color w:val="auto"/>
          <w:sz w:val="24"/>
          <w:szCs w:val="24"/>
          <w:highlight w:val="none"/>
          <w:lang w:val="en-US" w:eastAsia="zh-CN"/>
        </w:rPr>
        <w:t>有组织VOCs最高排放浓度及排放速率分别比为2.88</w:t>
      </w:r>
      <w:r>
        <w:rPr>
          <w:rFonts w:hint="eastAsia" w:ascii="Times New Roman" w:hAnsi="Times New Roman" w:eastAsia="宋体" w:cs="Times New Roman"/>
          <w:b w:val="0"/>
          <w:bCs w:val="0"/>
          <w:color w:val="auto"/>
          <w:sz w:val="24"/>
          <w:szCs w:val="24"/>
          <w:highlight w:val="none"/>
          <w:vertAlign w:val="baseline"/>
          <w:lang w:val="en-US" w:eastAsia="zh-CN"/>
        </w:rPr>
        <w:t>mg/m</w:t>
      </w:r>
      <w:r>
        <w:rPr>
          <w:rFonts w:hint="eastAsia" w:ascii="Times New Roman" w:hAnsi="Times New Roman" w:eastAsia="宋体" w:cs="Times New Roman"/>
          <w:b w:val="0"/>
          <w:bCs w:val="0"/>
          <w:color w:val="auto"/>
          <w:sz w:val="24"/>
          <w:szCs w:val="24"/>
          <w:highlight w:val="none"/>
          <w:vertAlign w:val="superscript"/>
          <w:lang w:val="en-US" w:eastAsia="zh-CN"/>
        </w:rPr>
        <w:t>3</w:t>
      </w:r>
      <w:r>
        <w:rPr>
          <w:rFonts w:hint="eastAsia" w:ascii="Times New Roman" w:hAnsi="Times New Roman" w:eastAsia="宋体" w:cs="Times New Roman"/>
          <w:b w:val="0"/>
          <w:bCs w:val="0"/>
          <w:color w:val="auto"/>
          <w:sz w:val="24"/>
          <w:szCs w:val="24"/>
          <w:highlight w:val="none"/>
          <w:vertAlign w:val="baseline"/>
          <w:lang w:val="en-US" w:eastAsia="zh-CN"/>
        </w:rPr>
        <w:t>、0.0577</w:t>
      </w:r>
      <w:r>
        <w:rPr>
          <w:rFonts w:ascii="Times New Roman" w:hAnsi="Times New Roman" w:eastAsia="宋体" w:cs="Times New Roman"/>
          <w:b w:val="0"/>
          <w:bCs w:val="0"/>
          <w:color w:val="auto"/>
          <w:sz w:val="24"/>
          <w:szCs w:val="24"/>
          <w:highlight w:val="none"/>
        </w:rPr>
        <w:t>g/h</w:t>
      </w:r>
      <w:r>
        <w:rPr>
          <w:rFonts w:hint="eastAsia" w:ascii="Times New Roman" w:hAnsi="Times New Roman" w:eastAsia="宋体" w:cs="Times New Roman"/>
          <w:b w:val="0"/>
          <w:bCs w:val="0"/>
          <w:color w:val="auto"/>
          <w:sz w:val="24"/>
          <w:szCs w:val="24"/>
          <w:highlight w:val="none"/>
          <w:lang w:eastAsia="zh-CN"/>
        </w:rPr>
        <w:t>，满足《挥发性有机物排放标准 第5部分：表面涂装行制标准业》(DB37/2801.5-2018)表2金属制品业(C33，不含C333)中标准限值要求：50mg/m</w:t>
      </w:r>
      <w:r>
        <w:rPr>
          <w:rFonts w:hint="eastAsia" w:ascii="Times New Roman" w:hAnsi="Times New Roman" w:eastAsia="宋体" w:cs="Times New Roman"/>
          <w:b w:val="0"/>
          <w:bCs w:val="0"/>
          <w:color w:val="auto"/>
          <w:sz w:val="24"/>
          <w:szCs w:val="24"/>
          <w:highlight w:val="none"/>
          <w:vertAlign w:val="superscript"/>
          <w:lang w:eastAsia="zh-CN"/>
        </w:rPr>
        <w:t>3</w:t>
      </w:r>
      <w:r>
        <w:rPr>
          <w:rFonts w:hint="eastAsia" w:ascii="Times New Roman" w:hAnsi="Times New Roman" w:eastAsia="宋体" w:cs="Times New Roman"/>
          <w:b w:val="0"/>
          <w:bCs w:val="0"/>
          <w:color w:val="auto"/>
          <w:sz w:val="24"/>
          <w:szCs w:val="24"/>
          <w:highlight w:val="none"/>
          <w:lang w:eastAsia="zh-CN"/>
        </w:rPr>
        <w:t>、2.0kg/h</w:t>
      </w:r>
      <w:r>
        <w:rPr>
          <w:rFonts w:hint="eastAsia" w:ascii="Times New Roman" w:hAnsi="Times New Roman" w:eastAsia="宋体" w:cs="Times New Roman"/>
          <w:color w:val="auto"/>
          <w:sz w:val="24"/>
          <w:szCs w:val="24"/>
          <w:highlight w:val="none"/>
          <w:lang w:eastAsia="zh-CN"/>
        </w:rPr>
        <w:t>。</w:t>
      </w:r>
    </w:p>
    <w:p w14:paraId="6E4A6B88">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lang w:val="en-US" w:eastAsia="zh-CN"/>
        </w:rPr>
      </w:pPr>
      <w:r>
        <w:rPr>
          <w:rFonts w:hint="default" w:ascii="Times New Roman" w:hAnsi="Times New Roman" w:eastAsia="宋体" w:cs="Times New Roman"/>
          <w:color w:val="auto"/>
          <w:sz w:val="24"/>
          <w:szCs w:val="24"/>
          <w:highlight w:val="none"/>
          <w:lang w:val="en-US" w:eastAsia="zh-CN"/>
        </w:rPr>
        <w:t>验收监测期间，无组织颗粒物排放浓度最大为0.353mg/m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，满足《大气污染物综合排放标准》（GB16297-1996）表 2 中厂界无组织排放浓度限值要求：1.0</w:t>
      </w:r>
      <w:r>
        <w:rPr>
          <w:rFonts w:hint="default" w:ascii="Times New Roman" w:hAnsi="Times New Roman" w:eastAsia="宋体" w:cs="Times New Roman"/>
          <w:color w:val="auto"/>
          <w:sz w:val="24"/>
          <w:szCs w:val="24"/>
          <w:highlight w:val="none"/>
        </w:rPr>
        <w:t>mg/m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vertAlign w:val="baseline"/>
          <w:lang w:eastAsia="zh-CN"/>
        </w:rPr>
        <w:t>；厂界无组织VOCs最大排放浓度为</w:t>
      </w:r>
      <w:r>
        <w:rPr>
          <w:rFonts w:hint="default" w:ascii="Times New Roman" w:hAnsi="Times New Roman" w:eastAsia="宋体" w:cs="Times New Roman"/>
          <w:color w:val="auto"/>
          <w:sz w:val="24"/>
          <w:szCs w:val="24"/>
          <w:highlight w:val="none"/>
          <w:vertAlign w:val="baseline"/>
          <w:lang w:val="en-US" w:eastAsia="zh-CN"/>
        </w:rPr>
        <w:t>1.37</w:t>
      </w:r>
      <w:r>
        <w:rPr>
          <w:rFonts w:hint="default" w:ascii="Times New Roman" w:hAnsi="Times New Roman" w:eastAsia="宋体" w:cs="Times New Roman"/>
          <w:color w:val="auto"/>
          <w:sz w:val="24"/>
          <w:szCs w:val="24"/>
          <w:highlight w:val="none"/>
          <w:lang w:val="en-US" w:eastAsia="zh-CN"/>
        </w:rPr>
        <w:t>mg/m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vertAlign w:val="baseline"/>
          <w:lang w:val="en-US" w:eastAsia="zh-CN"/>
        </w:rPr>
        <w:t>，满足《挥发性有机物排放标准 第5部分：表面涂装行业》(DB37/2801.5-2018)表3中厂界监控点浓度限值：2.0mg/m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vertAlign w:val="baseline"/>
          <w:lang w:val="en-US" w:eastAsia="zh-CN"/>
        </w:rPr>
        <w:t>；厂区内无组织VOCs最大排放浓度为1.90</w:t>
      </w:r>
      <w:r>
        <w:rPr>
          <w:rFonts w:hint="default" w:ascii="Times New Roman" w:hAnsi="Times New Roman" w:eastAsia="宋体" w:cs="Times New Roman"/>
          <w:color w:val="auto"/>
          <w:sz w:val="24"/>
          <w:szCs w:val="24"/>
          <w:highlight w:val="none"/>
          <w:lang w:val="en-US" w:eastAsia="zh-CN"/>
        </w:rPr>
        <w:t>mg/m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vertAlign w:val="baseline"/>
          <w:lang w:val="en-US" w:eastAsia="zh-CN"/>
        </w:rPr>
        <w:t>，满足《挥发性有机物无组织排放控制标准》(GB37822-2019)表A.1特别排放限值要求：6mg/m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vertAlign w:val="baseline"/>
          <w:lang w:val="en-US" w:eastAsia="zh-CN"/>
        </w:rPr>
        <w:t>（NMHC，监控点处 1h 平均浓度值）、20mg/m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vertAlign w:val="baseline"/>
          <w:lang w:val="en-US" w:eastAsia="zh-CN"/>
        </w:rPr>
        <w:t>（NMHC，监控点处任意一次浓度值）</w:t>
      </w:r>
      <w:r>
        <w:rPr>
          <w:rFonts w:hint="eastAsia" w:ascii="宋体" w:hAnsi="宋体" w:eastAsia="宋体" w:cs="宋体"/>
          <w:color w:val="auto"/>
          <w:sz w:val="24"/>
          <w:szCs w:val="24"/>
          <w:highlight w:val="none"/>
          <w:vertAlign w:val="baseline"/>
          <w:lang w:val="en-US" w:eastAsia="zh-CN"/>
        </w:rPr>
        <w:t>。</w:t>
      </w:r>
    </w:p>
    <w:p w14:paraId="4AF4AC09">
      <w:pPr>
        <w:pStyle w:val="32"/>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eastAsia"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2、噪声</w:t>
      </w:r>
    </w:p>
    <w:p w14:paraId="383B9739">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验收监测期间，厂界昼间最大噪声值为5</w:t>
      </w:r>
      <w:r>
        <w:rPr>
          <w:rFonts w:hint="eastAsia" w:ascii="Times New Roman" w:hAnsi="Times New Roman"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 xml:space="preserve"> dB(A)，满足《工业企业厂界环境噪声排放标准》（GB12348-2008）表1中的</w:t>
      </w:r>
      <w:r>
        <w:rPr>
          <w:rFonts w:hint="eastAsia" w:ascii="Times New Roman" w:hAnsi="Times New Roman"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CN"/>
        </w:rPr>
        <w:t>类标准，昼间6</w:t>
      </w:r>
      <w:r>
        <w:rPr>
          <w:rFonts w:hint="eastAsia" w:ascii="Times New Roman" w:hAnsi="Times New Roman"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dB（A）、夜间5</w:t>
      </w:r>
      <w:r>
        <w:rPr>
          <w:rFonts w:hint="eastAsia" w:ascii="Times New Roman" w:hAnsi="Times New Roman"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dB（A）要求。</w:t>
      </w:r>
    </w:p>
    <w:p w14:paraId="11F2971E">
      <w:pPr>
        <w:pStyle w:val="32"/>
        <w:keepNext w:val="0"/>
        <w:keepLines w:val="0"/>
        <w:pageBreakBefore w:val="0"/>
        <w:widowControl/>
        <w:tabs>
          <w:tab w:val="left" w:pos="1680"/>
        </w:tabs>
        <w:kinsoku/>
        <w:wordWrap/>
        <w:overflowPunct/>
        <w:topLinePunct w:val="0"/>
        <w:autoSpaceDE/>
        <w:autoSpaceDN/>
        <w:bidi w:val="0"/>
        <w:adjustRightInd/>
        <w:snapToGrid/>
        <w:spacing w:line="360" w:lineRule="auto"/>
        <w:ind w:left="0" w:leftChars="0" w:firstLine="281" w:firstLineChars="100"/>
        <w:textAlignment w:val="auto"/>
        <w:outlineLvl w:val="9"/>
        <w:rPr>
          <w:rFonts w:hint="eastAsia"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3、固体废物</w:t>
      </w:r>
    </w:p>
    <w:p w14:paraId="3E7D271D">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（1）一般固体废物</w:t>
      </w:r>
    </w:p>
    <w:p w14:paraId="61D38411">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①除尘器集尘：布袋除尘器收集的粉尘量属于一般固体废物，代码为999-004-66，收集后外售综合利用。</w:t>
      </w:r>
    </w:p>
    <w:p w14:paraId="027EB503">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②废滤芯：喷塑设备自带滤芯需要定期更换属于一般固废，一般固体废物代码为999-004-99，由厂家回收重新利用。</w:t>
      </w:r>
    </w:p>
    <w:p w14:paraId="6F02D31D">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③废水性漆桶：水性漆涂料包装产生废水性漆桶，一般固体废物代码为999-004-99，收集后外售综合利用。</w:t>
      </w:r>
    </w:p>
    <w:p w14:paraId="0F77FADD">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④废水性漆渣：项目喷水性漆时产生漆渣属于一般固废，一般固体废物代码为999-004-99，由环卫部门定期清运。</w:t>
      </w:r>
    </w:p>
    <w:p w14:paraId="4328916D">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⑤废布袋：当布袋除尘器中的布袋无法达到核定去除效果时需要进行更换，本次按每年更换一次，属于一般固体废物代码为999-004-99，收集后委托环卫部门定期清运。</w:t>
      </w:r>
    </w:p>
    <w:p w14:paraId="2CD8D681">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（2）危险废物</w:t>
      </w:r>
    </w:p>
    <w:p w14:paraId="215D9FAB">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①废活性炭：项目采用“活性炭吸附”来吸附有机废气。活性炭一年更换一次，属于危险废物HW49900-039-49。收集后暂存于危废间，委托有危废处理资质的单位处理。</w:t>
      </w:r>
    </w:p>
    <w:p w14:paraId="3D2DE8DC">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②废催化剂：项目废气处理装置中使用催化燃烧装置，内含催化剂催化，催化剂需要每3年更换一次</w:t>
      </w:r>
      <w:r>
        <w:rPr>
          <w:rFonts w:hint="eastAsia" w:ascii="Times New Roman" w:hAnsi="Times New Roman"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催化剂属于蜂窝状的贵金属铂、金、钯等混合贵金属，属于危险废物HW46900-037-46。收集后暂存于危废间，委托有危废处理资质的单位处理。</w:t>
      </w:r>
    </w:p>
    <w:p w14:paraId="222BD862">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③废过滤棉：项目废过滤棉属于危险废物HW49900-041-49。收集后暂存于危废间，委托有危废处理资质的单位处理。</w:t>
      </w:r>
    </w:p>
    <w:p w14:paraId="2F03E0F7">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④废液压油：项目运营过程中设备维护会产生废液压油，属于HW08900-218-08，收集后委托有危废资质单位处置。</w:t>
      </w:r>
    </w:p>
    <w:p w14:paraId="4C0BA3E1">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⑤废润滑油：项目运营过程中设备维护会产生废润滑油，属于HW08900-217-08，收集后委托有危废资质单位处置。</w:t>
      </w:r>
    </w:p>
    <w:p w14:paraId="737F0102">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eastAsia" w:ascii="Times New Roman" w:hAnsi="Times New Roman" w:eastAsia="宋体" w:cs="Times New Roman"/>
          <w:color w:val="auto"/>
          <w:sz w:val="24"/>
          <w:szCs w:val="24"/>
          <w:lang w:val="en-US" w:eastAsia="zh-CN"/>
        </w:rPr>
        <w:t>⑥废油桶：项目润滑油、液压油使用桶装，废油桶属于危险废物HW08900-249-08，暂存于危险废物暂存间内，定期委托有资质单位集中处理</w:t>
      </w:r>
      <w:r>
        <w:rPr>
          <w:rFonts w:hint="default" w:ascii="Times New Roman" w:hAnsi="Times New Roman" w:cs="Times New Roman" w:eastAsiaTheme="minorEastAsia"/>
          <w:color w:val="000000"/>
          <w:sz w:val="24"/>
          <w:szCs w:val="24"/>
          <w:highlight w:val="none"/>
          <w:lang w:val="en-US" w:eastAsia="zh-CN"/>
        </w:rPr>
        <w:t>。</w:t>
      </w:r>
    </w:p>
    <w:p w14:paraId="16467A48">
      <w:pPr>
        <w:keepNext w:val="0"/>
        <w:keepLines w:val="0"/>
        <w:pageBreakBefore w:val="0"/>
        <w:kinsoku/>
        <w:wordWrap/>
        <w:overflowPunct/>
        <w:topLinePunct w:val="0"/>
        <w:bidi w:val="0"/>
        <w:adjustRightInd w:val="0"/>
        <w:snapToGrid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kern w:val="0"/>
          <w:sz w:val="28"/>
          <w:szCs w:val="28"/>
        </w:rPr>
        <w:t>五、工程建设对环境的影响</w:t>
      </w:r>
    </w:p>
    <w:p w14:paraId="1882E9D4">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项目建设进行了环境影响评价，基本落实了环境影响评价文件及其批复要求。验收监测期间，项目产生的废气、噪声、废水能够达标排放，固体废物能够得到妥善处理。</w:t>
      </w:r>
    </w:p>
    <w:p w14:paraId="7259544A">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color w:val="000000"/>
          <w:sz w:val="28"/>
          <w:szCs w:val="28"/>
          <w:shd w:val="clear" w:color="auto" w:fill="FFFFFF"/>
        </w:rPr>
      </w:pPr>
      <w:r>
        <w:rPr>
          <w:rFonts w:hint="eastAsia" w:asciiTheme="minorEastAsia" w:hAnsiTheme="minorEastAsia" w:eastAsiaTheme="minorEastAsia" w:cstheme="minorEastAsia"/>
          <w:b/>
          <w:kern w:val="0"/>
          <w:sz w:val="28"/>
          <w:szCs w:val="28"/>
          <w:shd w:val="clear" w:color="auto" w:fill="FFFFFF"/>
          <w:lang w:bidi="ar"/>
        </w:rPr>
        <w:t>六、验收结论</w:t>
      </w:r>
    </w:p>
    <w:p w14:paraId="036DD798">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color w:val="auto"/>
          <w:sz w:val="24"/>
          <w:szCs w:val="24"/>
          <w:highlight w:val="none"/>
          <w:lang w:eastAsia="zh-CN"/>
        </w:rPr>
        <w:t>山东恒晟智能科技有限公司</w:t>
      </w:r>
      <w:r>
        <w:rPr>
          <w:rFonts w:hint="eastAsia" w:ascii="Times New Roman" w:hAnsi="Times New Roman" w:cs="Times New Roman" w:eastAsiaTheme="minorEastAsia"/>
          <w:color w:val="000000"/>
          <w:sz w:val="24"/>
          <w:szCs w:val="24"/>
          <w:highlight w:val="none"/>
          <w:lang w:val="en-US" w:eastAsia="zh-CN"/>
        </w:rPr>
        <w:t>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验收工作组原则同意该项目环保设施通过环保验收。</w:t>
      </w:r>
    </w:p>
    <w:p w14:paraId="4DA6F381">
      <w:pPr>
        <w:keepNext w:val="0"/>
        <w:keepLines w:val="0"/>
        <w:pageBreakBefore w:val="0"/>
        <w:kinsoku/>
        <w:wordWrap/>
        <w:overflowPunct/>
        <w:topLinePunct w:val="0"/>
        <w:bidi w:val="0"/>
        <w:spacing w:line="560" w:lineRule="exact"/>
        <w:ind w:firstLine="281" w:firstLineChars="100"/>
        <w:textAlignment w:val="auto"/>
        <w:outlineLvl w:val="9"/>
        <w:rPr>
          <w:rFonts w:hint="eastAsia" w:asciiTheme="minorEastAsia" w:hAnsiTheme="minorEastAsia" w:eastAsiaTheme="minorEastAsia" w:cstheme="minorEastAsia"/>
          <w:b/>
          <w:color w:val="000000"/>
          <w:sz w:val="28"/>
          <w:szCs w:val="28"/>
          <w:shd w:val="clear" w:color="auto" w:fill="FFFFFF"/>
        </w:rPr>
      </w:pPr>
      <w:r>
        <w:rPr>
          <w:rFonts w:hint="eastAsia" w:asciiTheme="minorEastAsia" w:hAnsiTheme="minorEastAsia" w:eastAsiaTheme="minorEastAsia" w:cstheme="minorEastAsia"/>
          <w:b/>
          <w:color w:val="000000"/>
          <w:sz w:val="28"/>
          <w:szCs w:val="28"/>
          <w:shd w:val="clear" w:color="auto" w:fill="FFFFFF"/>
          <w:lang w:bidi="ar"/>
        </w:rPr>
        <w:t>七、后续要求</w:t>
      </w:r>
    </w:p>
    <w:p w14:paraId="7D153B6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1、车间地面上撒漏的粉状物料应及时清理，保持车间地面清洁，防止扬尘。</w:t>
      </w:r>
    </w:p>
    <w:p w14:paraId="3DD4192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2、定期检查废气收集设施的运行情况，确保废气有效收集和处理；</w:t>
      </w:r>
    </w:p>
    <w:p w14:paraId="2B09ED3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w:t>
      </w:r>
      <w:r>
        <w:rPr>
          <w:rFonts w:hint="eastAsia" w:ascii="Times New Roman" w:hAnsi="Times New Roman" w:eastAsia="宋体" w:cs="Times New Roman"/>
          <w:color w:val="auto"/>
          <w:kern w:val="2"/>
          <w:sz w:val="24"/>
          <w:szCs w:val="24"/>
          <w:lang w:val="en-US" w:eastAsia="zh-CN" w:bidi="ar-SA"/>
        </w:rPr>
        <w:t>项目运营过程中，严格执行排污许可排放标准，一般工业固废严格按照《一般工业固体废物贮存和填埋污染控制标准》（GB 18599-2020）要求执行</w:t>
      </w:r>
      <w:r>
        <w:rPr>
          <w:rFonts w:hint="eastAsia" w:ascii="Times New Roman" w:hAnsi="Times New Roman" w:cs="Times New Roman"/>
          <w:color w:val="auto"/>
          <w:kern w:val="2"/>
          <w:sz w:val="24"/>
          <w:szCs w:val="24"/>
          <w:lang w:val="en-US" w:eastAsia="zh-CN" w:bidi="ar-SA"/>
        </w:rPr>
        <w:t>，</w:t>
      </w:r>
      <w:r>
        <w:rPr>
          <w:rFonts w:hint="eastAsia" w:ascii="Times New Roman" w:hAnsi="Times New Roman" w:eastAsia="宋体" w:cs="Times New Roman"/>
          <w:color w:val="auto"/>
          <w:kern w:val="2"/>
          <w:sz w:val="24"/>
          <w:szCs w:val="24"/>
          <w:lang w:val="en-US" w:eastAsia="zh-CN" w:bidi="ar-SA"/>
        </w:rPr>
        <w:t>危险废物严格按照《危险废物贮存污染控制标准》（GB 18597-2023）要求执行。</w:t>
      </w:r>
    </w:p>
    <w:p w14:paraId="56E99AFF">
      <w:pPr>
        <w:keepNext w:val="0"/>
        <w:keepLines w:val="0"/>
        <w:pageBreakBefore w:val="0"/>
        <w:kinsoku/>
        <w:wordWrap/>
        <w:overflowPunct/>
        <w:topLinePunct w:val="0"/>
        <w:bidi w:val="0"/>
        <w:spacing w:line="560" w:lineRule="exact"/>
        <w:ind w:firstLine="281" w:firstLineChars="100"/>
        <w:textAlignment w:val="auto"/>
        <w:outlineLvl w:val="9"/>
        <w:rPr>
          <w:rFonts w:hint="eastAsia" w:asciiTheme="minorEastAsia" w:hAnsiTheme="minorEastAsia" w:eastAsiaTheme="minorEastAsia" w:cstheme="minorEastAsia"/>
          <w:b/>
          <w:color w:val="000000"/>
          <w:sz w:val="28"/>
          <w:szCs w:val="28"/>
          <w:shd w:val="clear" w:color="auto" w:fill="FFFFFF"/>
          <w:lang w:bidi="ar"/>
        </w:rPr>
      </w:pPr>
      <w:r>
        <w:rPr>
          <w:rFonts w:hint="eastAsia" w:asciiTheme="minorEastAsia" w:hAnsiTheme="minorEastAsia" w:eastAsiaTheme="minorEastAsia" w:cstheme="minorEastAsia"/>
          <w:b/>
          <w:color w:val="000000"/>
          <w:sz w:val="28"/>
          <w:szCs w:val="28"/>
          <w:shd w:val="clear" w:color="auto" w:fill="FFFFFF"/>
          <w:lang w:bidi="ar"/>
        </w:rPr>
        <w:t>八、验收人员信息</w:t>
      </w:r>
    </w:p>
    <w:p w14:paraId="619D6C4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见附件。</w:t>
      </w:r>
    </w:p>
    <w:p w14:paraId="29C92F95">
      <w:pPr>
        <w:keepNext w:val="0"/>
        <w:keepLines w:val="0"/>
        <w:pageBreakBefore w:val="0"/>
        <w:kinsoku/>
        <w:wordWrap/>
        <w:overflowPunct/>
        <w:topLinePunct w:val="0"/>
        <w:bidi w:val="0"/>
        <w:adjustRightInd w:val="0"/>
        <w:spacing w:line="560" w:lineRule="exact"/>
        <w:ind w:firstLine="364" w:firstLineChars="152"/>
        <w:jc w:val="center"/>
        <w:textAlignment w:val="auto"/>
        <w:outlineLvl w:val="9"/>
        <w:rPr>
          <w:rFonts w:hint="eastAsia" w:asciiTheme="minorEastAsia" w:hAnsiTheme="minorEastAsia" w:eastAsiaTheme="minorEastAsia" w:cstheme="minorEastAsia"/>
          <w:color w:val="auto"/>
          <w:sz w:val="24"/>
          <w:szCs w:val="24"/>
          <w:shd w:val="clear" w:color="auto" w:fill="FFFFFF"/>
        </w:rPr>
      </w:pPr>
      <w:r>
        <w:rPr>
          <w:rFonts w:hint="eastAsia" w:ascii="Times New Roman" w:hAnsi="Times New Roman" w:cs="Times New Roman" w:eastAsiaTheme="minorEastAsia"/>
          <w:color w:val="000000"/>
          <w:sz w:val="24"/>
          <w:szCs w:val="24"/>
          <w:highlight w:val="none"/>
          <w:lang w:val="en-US" w:eastAsia="zh-CN"/>
        </w:rPr>
        <w:t xml:space="preserve">                                           </w:t>
      </w:r>
      <w:r>
        <w:rPr>
          <w:rFonts w:hint="eastAsia" w:ascii="Times New Roman" w:hAnsi="Times New Roman" w:cs="Times New Roman"/>
          <w:color w:val="auto"/>
          <w:sz w:val="24"/>
          <w:szCs w:val="24"/>
          <w:highlight w:val="none"/>
          <w:lang w:eastAsia="zh-CN"/>
        </w:rPr>
        <w:t>山东恒晟智能科技有限公司</w:t>
      </w:r>
    </w:p>
    <w:p w14:paraId="0D4ED26F">
      <w:pPr>
        <w:keepNext w:val="0"/>
        <w:keepLines w:val="0"/>
        <w:pageBreakBefore w:val="0"/>
        <w:kinsoku/>
        <w:wordWrap/>
        <w:overflowPunct/>
        <w:topLinePunct w:val="0"/>
        <w:bidi w:val="0"/>
        <w:adjustRightInd w:val="0"/>
        <w:spacing w:line="560" w:lineRule="exact"/>
        <w:ind w:right="600"/>
        <w:jc w:val="right"/>
        <w:textAlignment w:val="auto"/>
        <w:outlineLvl w:val="9"/>
        <w:rPr>
          <w:rFonts w:hint="default" w:ascii="Times New Roman" w:hAnsi="Times New Roman" w:cs="Times New Roman" w:eastAsiaTheme="minorEastAsia"/>
          <w:color w:val="auto"/>
          <w:sz w:val="24"/>
          <w:szCs w:val="24"/>
          <w:highlight w:val="none"/>
          <w:shd w:val="clear" w:color="auto" w:fill="FFFFFF"/>
          <w:lang w:bidi="ar"/>
        </w:rPr>
        <w:sectPr>
          <w:footerReference r:id="rId3" w:type="default"/>
          <w:pgSz w:w="11906" w:h="16838"/>
          <w:pgMar w:top="1474" w:right="1588" w:bottom="1134" w:left="1588" w:header="851" w:footer="992" w:gutter="0"/>
          <w:cols w:space="425" w:num="1"/>
          <w:docGrid w:type="lines" w:linePitch="312" w:charSpace="0"/>
        </w:sectPr>
      </w:pPr>
      <w:r>
        <w:rPr>
          <w:rFonts w:hint="default" w:ascii="Times New Roman" w:hAnsi="Times New Roman" w:cs="Times New Roman" w:eastAsiaTheme="minorEastAsia"/>
          <w:color w:val="auto"/>
          <w:sz w:val="24"/>
          <w:szCs w:val="24"/>
          <w:highlight w:val="none"/>
          <w:shd w:val="clear" w:color="auto" w:fill="FFFFFF"/>
          <w:lang w:val="en-US" w:eastAsia="zh-CN" w:bidi="ar"/>
        </w:rPr>
        <w:t>202</w:t>
      </w:r>
      <w:r>
        <w:rPr>
          <w:rFonts w:hint="eastAsia" w:ascii="Times New Roman" w:hAnsi="Times New Roman" w:cs="Times New Roman" w:eastAsiaTheme="minorEastAsia"/>
          <w:color w:val="auto"/>
          <w:sz w:val="24"/>
          <w:szCs w:val="24"/>
          <w:highlight w:val="none"/>
          <w:shd w:val="clear" w:color="auto" w:fill="FFFFFF"/>
          <w:lang w:val="en-US" w:eastAsia="zh-CN" w:bidi="ar"/>
        </w:rPr>
        <w:t>5</w:t>
      </w:r>
      <w:r>
        <w:rPr>
          <w:rFonts w:hint="default" w:ascii="Times New Roman" w:hAnsi="Times New Roman" w:cs="Times New Roman" w:eastAsiaTheme="minorEastAsia"/>
          <w:color w:val="auto"/>
          <w:sz w:val="24"/>
          <w:szCs w:val="24"/>
          <w:highlight w:val="none"/>
          <w:shd w:val="clear" w:color="auto" w:fill="FFFFFF"/>
          <w:lang w:bidi="ar"/>
        </w:rPr>
        <w:t>年</w:t>
      </w:r>
      <w:r>
        <w:rPr>
          <w:rFonts w:hint="eastAsia" w:ascii="Times New Roman" w:hAnsi="Times New Roman" w:cs="Times New Roman" w:eastAsiaTheme="minorEastAsia"/>
          <w:color w:val="auto"/>
          <w:sz w:val="24"/>
          <w:szCs w:val="24"/>
          <w:highlight w:val="none"/>
          <w:shd w:val="clear" w:color="auto" w:fill="FFFFFF"/>
          <w:lang w:val="en-US" w:eastAsia="zh-CN" w:bidi="ar"/>
        </w:rPr>
        <w:t>06</w:t>
      </w:r>
      <w:r>
        <w:rPr>
          <w:rFonts w:hint="default" w:ascii="Times New Roman" w:hAnsi="Times New Roman" w:cs="Times New Roman" w:eastAsiaTheme="minorEastAsia"/>
          <w:color w:val="auto"/>
          <w:sz w:val="24"/>
          <w:szCs w:val="24"/>
          <w:highlight w:val="none"/>
          <w:shd w:val="clear" w:color="auto" w:fill="FFFFFF"/>
          <w:lang w:bidi="ar"/>
        </w:rPr>
        <w:t>月</w:t>
      </w:r>
      <w:r>
        <w:rPr>
          <w:rFonts w:hint="eastAsia" w:ascii="Times New Roman" w:hAnsi="Times New Roman" w:cs="Times New Roman" w:eastAsiaTheme="minorEastAsia"/>
          <w:color w:val="auto"/>
          <w:sz w:val="24"/>
          <w:szCs w:val="24"/>
          <w:highlight w:val="none"/>
          <w:shd w:val="clear" w:color="auto" w:fill="FFFFFF"/>
          <w:lang w:val="en-US" w:eastAsia="zh-CN" w:bidi="ar"/>
        </w:rPr>
        <w:t>15</w:t>
      </w:r>
      <w:r>
        <w:rPr>
          <w:rFonts w:hint="default" w:ascii="Times New Roman" w:hAnsi="Times New Roman" w:cs="Times New Roman" w:eastAsiaTheme="minorEastAsia"/>
          <w:color w:val="auto"/>
          <w:sz w:val="24"/>
          <w:szCs w:val="24"/>
          <w:highlight w:val="none"/>
          <w:shd w:val="clear" w:color="auto" w:fill="FFFFFF"/>
          <w:lang w:bidi="ar"/>
        </w:rPr>
        <w:t>日</w:t>
      </w:r>
    </w:p>
    <w:p w14:paraId="2455B0E9">
      <w:pPr>
        <w:pStyle w:val="2"/>
        <w:keepNext w:val="0"/>
        <w:keepLines w:val="0"/>
        <w:pageBreakBefore w:val="0"/>
        <w:widowControl w:val="0"/>
        <w:kinsoku/>
        <w:wordWrap/>
        <w:overflowPunct/>
        <w:topLinePunct w:val="0"/>
        <w:autoSpaceDE w:val="0"/>
        <w:autoSpaceDN w:val="0"/>
        <w:bidi w:val="0"/>
        <w:adjustRightInd w:val="0"/>
        <w:snapToGrid/>
        <w:jc w:val="both"/>
        <w:textAlignment w:val="auto"/>
        <w:outlineLvl w:val="9"/>
        <w:rPr>
          <w:rFonts w:hint="eastAsia"/>
          <w:b/>
          <w:bCs/>
          <w:sz w:val="24"/>
          <w:szCs w:val="24"/>
          <w:lang w:eastAsia="zh-CN"/>
        </w:rPr>
      </w:pPr>
      <w:r>
        <w:rPr>
          <w:rFonts w:hint="eastAsia"/>
          <w:b/>
          <w:bCs/>
          <w:sz w:val="24"/>
          <w:szCs w:val="24"/>
          <w:lang w:eastAsia="zh-CN"/>
        </w:rPr>
        <w:t>附件：</w:t>
      </w:r>
    </w:p>
    <w:p w14:paraId="419A4862">
      <w:pPr>
        <w:pStyle w:val="2"/>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eastAsia" w:eastAsia="宋体"/>
          <w:lang w:eastAsia="zh-CN"/>
        </w:rPr>
      </w:pPr>
    </w:p>
    <w:sectPr>
      <w:pgSz w:w="16838" w:h="11906" w:orient="landscape"/>
      <w:pgMar w:top="1588" w:right="1474" w:bottom="1588"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14:paraId="4C398A33">
        <w:pPr>
          <w:pStyle w:val="10"/>
          <w:jc w:val="center"/>
        </w:pPr>
        <w:r>
          <w:fldChar w:fldCharType="begin"/>
        </w:r>
        <w:r>
          <w:instrText xml:space="preserve"> PAGE   \* MERGEFORMAT </w:instrText>
        </w:r>
        <w:r>
          <w:fldChar w:fldCharType="separate"/>
        </w:r>
        <w:r>
          <w:rPr>
            <w:lang w:val="zh-CN"/>
          </w:rPr>
          <w:t>5</w:t>
        </w:r>
        <w:r>
          <w:rPr>
            <w:lang w:val="zh-CN"/>
          </w:rPr>
          <w:fldChar w:fldCharType="end"/>
        </w:r>
      </w:p>
    </w:sdtContent>
  </w:sdt>
  <w:p w14:paraId="769CB0FC">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NjRlNmFkMjQ3MjI0MDMwOWI3OTQxYmViZTYxNzM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3000"/>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0024"/>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10A29DC"/>
    <w:rsid w:val="01541EA9"/>
    <w:rsid w:val="053F0C01"/>
    <w:rsid w:val="059B00A7"/>
    <w:rsid w:val="080B3D5F"/>
    <w:rsid w:val="08514A4D"/>
    <w:rsid w:val="08981135"/>
    <w:rsid w:val="08C34FF7"/>
    <w:rsid w:val="0A2D5046"/>
    <w:rsid w:val="0A6E312A"/>
    <w:rsid w:val="0ADB5E7A"/>
    <w:rsid w:val="0AE56DE0"/>
    <w:rsid w:val="0B536D2E"/>
    <w:rsid w:val="0C7541D8"/>
    <w:rsid w:val="0C8223EB"/>
    <w:rsid w:val="0CA42951"/>
    <w:rsid w:val="0CFE6766"/>
    <w:rsid w:val="0D4C0587"/>
    <w:rsid w:val="10482845"/>
    <w:rsid w:val="10713983"/>
    <w:rsid w:val="110F3E45"/>
    <w:rsid w:val="12844A2D"/>
    <w:rsid w:val="13A33E45"/>
    <w:rsid w:val="14025795"/>
    <w:rsid w:val="140B7F29"/>
    <w:rsid w:val="15551E7C"/>
    <w:rsid w:val="159D5768"/>
    <w:rsid w:val="15CF16A7"/>
    <w:rsid w:val="16154F53"/>
    <w:rsid w:val="16724450"/>
    <w:rsid w:val="16FA4E86"/>
    <w:rsid w:val="17B71A49"/>
    <w:rsid w:val="17E058A6"/>
    <w:rsid w:val="17FE0021"/>
    <w:rsid w:val="182F2017"/>
    <w:rsid w:val="19A12421"/>
    <w:rsid w:val="1AAB26E2"/>
    <w:rsid w:val="1AAE2376"/>
    <w:rsid w:val="1ABD2AF2"/>
    <w:rsid w:val="1B1851B0"/>
    <w:rsid w:val="1CDD41B9"/>
    <w:rsid w:val="1CFD0F69"/>
    <w:rsid w:val="1D300C7D"/>
    <w:rsid w:val="1D8D2573"/>
    <w:rsid w:val="1E77130C"/>
    <w:rsid w:val="1F7E33E3"/>
    <w:rsid w:val="1FB02549"/>
    <w:rsid w:val="20C33720"/>
    <w:rsid w:val="216C7246"/>
    <w:rsid w:val="218C6A2F"/>
    <w:rsid w:val="21F520D2"/>
    <w:rsid w:val="22B36145"/>
    <w:rsid w:val="26F95E73"/>
    <w:rsid w:val="270B5883"/>
    <w:rsid w:val="288C09DE"/>
    <w:rsid w:val="290B259E"/>
    <w:rsid w:val="29EC3253"/>
    <w:rsid w:val="2A2A5D1E"/>
    <w:rsid w:val="2ABB7EB6"/>
    <w:rsid w:val="2B97636B"/>
    <w:rsid w:val="2C2B6CCA"/>
    <w:rsid w:val="2C6549EB"/>
    <w:rsid w:val="2C962879"/>
    <w:rsid w:val="2CE83322"/>
    <w:rsid w:val="2F1728B1"/>
    <w:rsid w:val="2FE204FD"/>
    <w:rsid w:val="30674F5B"/>
    <w:rsid w:val="30C6397A"/>
    <w:rsid w:val="30EE4C7F"/>
    <w:rsid w:val="327E1929"/>
    <w:rsid w:val="32B258CB"/>
    <w:rsid w:val="33811DDB"/>
    <w:rsid w:val="348F3449"/>
    <w:rsid w:val="35475771"/>
    <w:rsid w:val="35921FFC"/>
    <w:rsid w:val="374E3896"/>
    <w:rsid w:val="3A0F01A8"/>
    <w:rsid w:val="3BD50FCD"/>
    <w:rsid w:val="3C8474D5"/>
    <w:rsid w:val="3CFF5BE4"/>
    <w:rsid w:val="3DD84A01"/>
    <w:rsid w:val="40095632"/>
    <w:rsid w:val="403B1566"/>
    <w:rsid w:val="415D2813"/>
    <w:rsid w:val="41B119D5"/>
    <w:rsid w:val="42A64878"/>
    <w:rsid w:val="434F5A51"/>
    <w:rsid w:val="44756DC2"/>
    <w:rsid w:val="44CD1674"/>
    <w:rsid w:val="44E00565"/>
    <w:rsid w:val="452C453B"/>
    <w:rsid w:val="4800463C"/>
    <w:rsid w:val="481B311D"/>
    <w:rsid w:val="483A4554"/>
    <w:rsid w:val="49CB3674"/>
    <w:rsid w:val="4A4A4B33"/>
    <w:rsid w:val="4A520E2B"/>
    <w:rsid w:val="4C155AC3"/>
    <w:rsid w:val="4CC56D84"/>
    <w:rsid w:val="4D5558B4"/>
    <w:rsid w:val="4EEB2F49"/>
    <w:rsid w:val="4FE85FF2"/>
    <w:rsid w:val="4FE97182"/>
    <w:rsid w:val="51AA71FB"/>
    <w:rsid w:val="52592449"/>
    <w:rsid w:val="527B23BF"/>
    <w:rsid w:val="52B018E5"/>
    <w:rsid w:val="53530C46"/>
    <w:rsid w:val="53DD36D8"/>
    <w:rsid w:val="54EE0658"/>
    <w:rsid w:val="558772CD"/>
    <w:rsid w:val="560C332E"/>
    <w:rsid w:val="573E39BB"/>
    <w:rsid w:val="57E24C8E"/>
    <w:rsid w:val="59244A43"/>
    <w:rsid w:val="5A0C3D15"/>
    <w:rsid w:val="5A623404"/>
    <w:rsid w:val="5BCB7408"/>
    <w:rsid w:val="5C084E7C"/>
    <w:rsid w:val="5C2F2281"/>
    <w:rsid w:val="5EB84053"/>
    <w:rsid w:val="600A6B30"/>
    <w:rsid w:val="60263F50"/>
    <w:rsid w:val="60A878DC"/>
    <w:rsid w:val="60B82B42"/>
    <w:rsid w:val="60EB450B"/>
    <w:rsid w:val="614B11AE"/>
    <w:rsid w:val="62536A85"/>
    <w:rsid w:val="641B4FF7"/>
    <w:rsid w:val="649460BF"/>
    <w:rsid w:val="68D4001D"/>
    <w:rsid w:val="69247BC3"/>
    <w:rsid w:val="6A1877FC"/>
    <w:rsid w:val="6A4662AD"/>
    <w:rsid w:val="6A7038C2"/>
    <w:rsid w:val="6C9227DE"/>
    <w:rsid w:val="6D4541F6"/>
    <w:rsid w:val="6DB13A3A"/>
    <w:rsid w:val="6F5F79E8"/>
    <w:rsid w:val="706D5F5F"/>
    <w:rsid w:val="711F3AD5"/>
    <w:rsid w:val="714F490E"/>
    <w:rsid w:val="727335A4"/>
    <w:rsid w:val="73076EFF"/>
    <w:rsid w:val="73C1302B"/>
    <w:rsid w:val="74CE76CB"/>
    <w:rsid w:val="74FB5F3A"/>
    <w:rsid w:val="75287D2D"/>
    <w:rsid w:val="753A1801"/>
    <w:rsid w:val="7543143E"/>
    <w:rsid w:val="75926377"/>
    <w:rsid w:val="7696248B"/>
    <w:rsid w:val="76A96C4B"/>
    <w:rsid w:val="785901FD"/>
    <w:rsid w:val="79CE2470"/>
    <w:rsid w:val="7B451137"/>
    <w:rsid w:val="7B910714"/>
    <w:rsid w:val="7BB54689"/>
    <w:rsid w:val="7CE54755"/>
    <w:rsid w:val="7D422132"/>
    <w:rsid w:val="7D5D5186"/>
    <w:rsid w:val="7E462B20"/>
    <w:rsid w:val="7EAB7F69"/>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basedOn w:val="3"/>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autoRedefine/>
    <w:qFormat/>
    <w:uiPriority w:val="0"/>
    <w:rPr>
      <w:rFonts w:ascii="宋体" w:hAnsi="Courier New"/>
    </w:rPr>
  </w:style>
  <w:style w:type="paragraph" w:styleId="4">
    <w:name w:val="annotation text"/>
    <w:basedOn w:val="1"/>
    <w:link w:val="28"/>
    <w:autoRedefine/>
    <w:qFormat/>
    <w:uiPriority w:val="0"/>
    <w:pPr>
      <w:jc w:val="left"/>
    </w:pPr>
    <w:rPr>
      <w:rFonts w:ascii="Times New Roman" w:hAnsi="Times New Roman"/>
      <w:szCs w:val="20"/>
    </w:rPr>
  </w:style>
  <w:style w:type="paragraph" w:styleId="5">
    <w:name w:val="Body Text"/>
    <w:basedOn w:val="1"/>
    <w:link w:val="26"/>
    <w:autoRedefine/>
    <w:qFormat/>
    <w:uiPriority w:val="0"/>
    <w:pPr>
      <w:spacing w:after="120"/>
    </w:pPr>
    <w:rPr>
      <w:rFonts w:ascii="Times New Roman" w:hAnsi="Times New Roman"/>
      <w:szCs w:val="20"/>
    </w:rPr>
  </w:style>
  <w:style w:type="paragraph" w:styleId="6">
    <w:name w:val="Body Text Indent"/>
    <w:basedOn w:val="1"/>
    <w:next w:val="7"/>
    <w:autoRedefine/>
    <w:unhideWhenUsed/>
    <w:qFormat/>
    <w:uiPriority w:val="99"/>
    <w:pPr>
      <w:ind w:left="420" w:leftChars="200"/>
    </w:pPr>
  </w:style>
  <w:style w:type="paragraph" w:customStyle="1" w:styleId="7">
    <w:name w:val="样式 正文文本缩进 + 行距: 1.5 倍行距"/>
    <w:basedOn w:val="1"/>
    <w:autoRedefine/>
    <w:qFormat/>
    <w:uiPriority w:val="0"/>
    <w:pPr>
      <w:spacing w:after="120" w:line="360" w:lineRule="auto"/>
      <w:ind w:left="90" w:leftChars="32" w:firstLine="560" w:firstLineChars="200"/>
    </w:pPr>
    <w:rPr>
      <w:rFonts w:cs="宋体"/>
    </w:rPr>
  </w:style>
  <w:style w:type="paragraph" w:styleId="8">
    <w:name w:val="Plain Text"/>
    <w:basedOn w:val="1"/>
    <w:autoRedefine/>
    <w:qFormat/>
    <w:uiPriority w:val="0"/>
    <w:rPr>
      <w:rFonts w:ascii="宋体" w:hAnsi="Courier New" w:cs="Courier New"/>
      <w:szCs w:val="21"/>
    </w:rPr>
  </w:style>
  <w:style w:type="paragraph" w:styleId="9">
    <w:name w:val="Balloon Text"/>
    <w:basedOn w:val="1"/>
    <w:link w:val="22"/>
    <w:autoRedefine/>
    <w:semiHidden/>
    <w:unhideWhenUsed/>
    <w:qFormat/>
    <w:uiPriority w:val="99"/>
    <w:rPr>
      <w:sz w:val="18"/>
      <w:szCs w:val="18"/>
    </w:rPr>
  </w:style>
  <w:style w:type="paragraph" w:styleId="10">
    <w:name w:val="footer"/>
    <w:basedOn w:val="1"/>
    <w:link w:val="21"/>
    <w:autoRedefine/>
    <w:unhideWhenUsed/>
    <w:qFormat/>
    <w:uiPriority w:val="99"/>
    <w:pPr>
      <w:tabs>
        <w:tab w:val="center" w:pos="4153"/>
        <w:tab w:val="right" w:pos="8306"/>
      </w:tabs>
      <w:snapToGrid w:val="0"/>
      <w:jc w:val="left"/>
    </w:pPr>
    <w:rPr>
      <w:sz w:val="18"/>
      <w:szCs w:val="18"/>
    </w:rPr>
  </w:style>
  <w:style w:type="paragraph" w:styleId="11">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autoRedefine/>
    <w:qFormat/>
    <w:uiPriority w:val="0"/>
    <w:pPr>
      <w:spacing w:after="120"/>
      <w:ind w:left="420" w:leftChars="200"/>
    </w:pPr>
    <w:rPr>
      <w:sz w:val="16"/>
      <w:szCs w:val="16"/>
    </w:rPr>
  </w:style>
  <w:style w:type="paragraph" w:styleId="13">
    <w:name w:val="Normal (Web)"/>
    <w:basedOn w:val="1"/>
    <w:qFormat/>
    <w:uiPriority w:val="99"/>
    <w:pPr>
      <w:spacing w:before="100" w:beforeAutospacing="1" w:after="100" w:afterAutospacing="1"/>
    </w:pPr>
    <w:rPr>
      <w:rFonts w:ascii="宋体" w:hAnsi="宋体" w:eastAsia="宋体" w:cs="宋体"/>
      <w:sz w:val="28"/>
      <w:szCs w:val="28"/>
    </w:rPr>
  </w:style>
  <w:style w:type="paragraph" w:styleId="14">
    <w:name w:val="Body Text First Indent 2"/>
    <w:basedOn w:val="6"/>
    <w:next w:val="1"/>
    <w:autoRedefine/>
    <w:qFormat/>
    <w:uiPriority w:val="0"/>
    <w:pPr>
      <w:ind w:firstLine="420" w:firstLineChars="2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basedOn w:val="17"/>
    <w:autoRedefine/>
    <w:qFormat/>
    <w:uiPriority w:val="0"/>
    <w:rPr>
      <w:sz w:val="21"/>
      <w:szCs w:val="21"/>
    </w:rPr>
  </w:style>
  <w:style w:type="paragraph" w:customStyle="1" w:styleId="19">
    <w:name w:val="li_正文"/>
    <w:basedOn w:val="1"/>
    <w:autoRedefine/>
    <w:qFormat/>
    <w:uiPriority w:val="0"/>
    <w:pPr>
      <w:ind w:firstLine="200" w:firstLineChars="200"/>
      <w:jc w:val="left"/>
    </w:pPr>
    <w:rPr>
      <w:sz w:val="28"/>
      <w:szCs w:val="28"/>
    </w:rPr>
  </w:style>
  <w:style w:type="character" w:customStyle="1" w:styleId="20">
    <w:name w:val="页眉 Char"/>
    <w:basedOn w:val="17"/>
    <w:link w:val="11"/>
    <w:autoRedefine/>
    <w:qFormat/>
    <w:uiPriority w:val="99"/>
    <w:rPr>
      <w:sz w:val="18"/>
      <w:szCs w:val="18"/>
    </w:rPr>
  </w:style>
  <w:style w:type="character" w:customStyle="1" w:styleId="21">
    <w:name w:val="页脚 Char"/>
    <w:basedOn w:val="17"/>
    <w:link w:val="10"/>
    <w:autoRedefine/>
    <w:qFormat/>
    <w:uiPriority w:val="99"/>
    <w:rPr>
      <w:sz w:val="18"/>
      <w:szCs w:val="18"/>
    </w:rPr>
  </w:style>
  <w:style w:type="character" w:customStyle="1" w:styleId="22">
    <w:name w:val="批注框文本 Char"/>
    <w:basedOn w:val="17"/>
    <w:link w:val="9"/>
    <w:autoRedefine/>
    <w:semiHidden/>
    <w:qFormat/>
    <w:uiPriority w:val="99"/>
    <w:rPr>
      <w:rFonts w:ascii="Calibri" w:hAnsi="Calibri" w:eastAsia="宋体" w:cs="Times New Roman"/>
      <w:kern w:val="2"/>
      <w:sz w:val="18"/>
      <w:szCs w:val="18"/>
    </w:rPr>
  </w:style>
  <w:style w:type="paragraph" w:customStyle="1" w:styleId="23">
    <w:name w:val="CM24"/>
    <w:autoRedefine/>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4">
    <w:name w:val="List Paragraph"/>
    <w:basedOn w:val="1"/>
    <w:autoRedefine/>
    <w:unhideWhenUsed/>
    <w:qFormat/>
    <w:uiPriority w:val="99"/>
    <w:pPr>
      <w:ind w:firstLine="420" w:firstLineChars="200"/>
    </w:pPr>
  </w:style>
  <w:style w:type="paragraph" w:customStyle="1" w:styleId="25">
    <w:name w:val="正1"/>
    <w:basedOn w:val="1"/>
    <w:link w:val="30"/>
    <w:autoRedefine/>
    <w:qFormat/>
    <w:uiPriority w:val="0"/>
    <w:pPr>
      <w:spacing w:line="360" w:lineRule="auto"/>
      <w:ind w:firstLine="200" w:firstLineChars="200"/>
      <w:jc w:val="left"/>
    </w:pPr>
    <w:rPr>
      <w:rFonts w:eastAsia="楷体_GB2312"/>
      <w:sz w:val="24"/>
    </w:rPr>
  </w:style>
  <w:style w:type="character" w:customStyle="1" w:styleId="26">
    <w:name w:val="正文文本 Char"/>
    <w:basedOn w:val="17"/>
    <w:link w:val="5"/>
    <w:autoRedefine/>
    <w:qFormat/>
    <w:uiPriority w:val="0"/>
    <w:rPr>
      <w:kern w:val="2"/>
      <w:sz w:val="21"/>
    </w:rPr>
  </w:style>
  <w:style w:type="paragraph" w:customStyle="1" w:styleId="27">
    <w:name w:val="Char Char Char Char Char Char Char Char Char Char"/>
    <w:basedOn w:val="1"/>
    <w:autoRedefine/>
    <w:qFormat/>
    <w:uiPriority w:val="0"/>
    <w:pPr>
      <w:spacing w:line="240" w:lineRule="exact"/>
      <w:ind w:firstLine="200" w:firstLineChars="200"/>
    </w:pPr>
    <w:rPr>
      <w:rFonts w:ascii="宋体" w:hAnsi="宋体" w:cs="宋体"/>
      <w:sz w:val="24"/>
    </w:rPr>
  </w:style>
  <w:style w:type="character" w:customStyle="1" w:styleId="28">
    <w:name w:val="批注文字 Char"/>
    <w:basedOn w:val="17"/>
    <w:link w:val="4"/>
    <w:autoRedefine/>
    <w:qFormat/>
    <w:uiPriority w:val="0"/>
    <w:rPr>
      <w:kern w:val="2"/>
      <w:sz w:val="21"/>
    </w:rPr>
  </w:style>
  <w:style w:type="paragraph" w:customStyle="1" w:styleId="29">
    <w:name w:val="ZW正文"/>
    <w:basedOn w:val="1"/>
    <w:autoRedefine/>
    <w:qFormat/>
    <w:uiPriority w:val="0"/>
    <w:pPr>
      <w:spacing w:line="500" w:lineRule="exact"/>
      <w:ind w:firstLine="480" w:firstLineChars="200"/>
    </w:pPr>
    <w:rPr>
      <w:rFonts w:ascii="Times New Roman" w:hAnsi="Times New Roman"/>
      <w:sz w:val="24"/>
      <w:szCs w:val="20"/>
    </w:rPr>
  </w:style>
  <w:style w:type="character" w:customStyle="1" w:styleId="30">
    <w:name w:val="正1 Char"/>
    <w:link w:val="25"/>
    <w:autoRedefine/>
    <w:qFormat/>
    <w:uiPriority w:val="0"/>
    <w:rPr>
      <w:rFonts w:ascii="Calibri" w:hAnsi="Calibri" w:eastAsia="楷体_GB2312"/>
      <w:kern w:val="2"/>
      <w:sz w:val="24"/>
      <w:szCs w:val="24"/>
    </w:rPr>
  </w:style>
  <w:style w:type="paragraph" w:customStyle="1" w:styleId="31">
    <w:name w:val="CM25"/>
    <w:autoRedefine/>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2">
    <w:name w:val="列出段落1"/>
    <w:basedOn w:val="1"/>
    <w:autoRedefine/>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3">
    <w:name w:val="NormalCharacter"/>
    <w:autoRedefine/>
    <w:semiHidden/>
    <w:qFormat/>
    <w:uiPriority w:val="0"/>
  </w:style>
  <w:style w:type="paragraph" w:customStyle="1" w:styleId="34">
    <w:name w:val="UserStyle_29"/>
    <w:basedOn w:val="1"/>
    <w:autoRedefine/>
    <w:qFormat/>
    <w:uiPriority w:val="0"/>
    <w:pPr>
      <w:spacing w:line="500" w:lineRule="exact"/>
      <w:ind w:firstLine="48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1965</Words>
  <Characters>2061</Characters>
  <Lines>18</Lines>
  <Paragraphs>5</Paragraphs>
  <TotalTime>84</TotalTime>
  <ScaleCrop>false</ScaleCrop>
  <LinksUpToDate>false</LinksUpToDate>
  <CharactersWithSpaces>2076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良言未素</cp:lastModifiedBy>
  <cp:lastPrinted>2025-04-07T03:11:00Z</cp:lastPrinted>
  <dcterms:modified xsi:type="dcterms:W3CDTF">2025-07-08T09:56:06Z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E7F786B759A34DC4BEAF86D5840A5750_13</vt:lpwstr>
  </property>
  <property fmtid="{D5CDD505-2E9C-101B-9397-08002B2CF9AE}" pid="4" name="KSOTemplateDocerSaveRecord">
    <vt:lpwstr>eyJoZGlkIjoiY2Q5NzFmZWMwZDI3YzY5MTEzZGE2YjM4OTNkM2M5N2UiLCJ1c2VySWQiOiIzMDM1MjgyNzUifQ==</vt:lpwstr>
  </property>
</Properties>
</file>