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0281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color w:val="auto"/>
          <w:sz w:val="28"/>
          <w:szCs w:val="28"/>
          <w:lang w:eastAsia="zh-CN"/>
        </w:rPr>
      </w:pPr>
      <w:bookmarkStart w:id="0" w:name="_GoBack"/>
      <w:r>
        <w:rPr>
          <w:rFonts w:hint="eastAsia" w:ascii="Times New Roman" w:hAnsi="Times New Roman" w:cs="Times New Roman" w:eastAsiaTheme="majorEastAsia"/>
          <w:b/>
          <w:bCs/>
          <w:color w:val="auto"/>
          <w:sz w:val="28"/>
          <w:szCs w:val="28"/>
          <w:lang w:eastAsia="zh-CN"/>
        </w:rPr>
        <w:t>聊城凯建新能源有限公司</w:t>
      </w:r>
    </w:p>
    <w:p w14:paraId="11EEFFC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color w:val="auto"/>
          <w:sz w:val="28"/>
          <w:szCs w:val="28"/>
          <w:lang w:eastAsia="zh-CN"/>
        </w:rPr>
      </w:pPr>
      <w:r>
        <w:rPr>
          <w:rFonts w:hint="eastAsia" w:ascii="Times New Roman" w:hAnsi="Times New Roman" w:cs="Times New Roman" w:eastAsiaTheme="majorEastAsia"/>
          <w:b/>
          <w:bCs/>
          <w:color w:val="auto"/>
          <w:sz w:val="28"/>
          <w:szCs w:val="28"/>
          <w:lang w:eastAsia="zh-CN"/>
        </w:rPr>
        <w:t>年加工5万吨生物质颗粒项目</w:t>
      </w:r>
    </w:p>
    <w:p w14:paraId="78F4671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宋体" w:cs="Times New Roman"/>
          <w:b/>
          <w:bCs/>
          <w:color w:val="auto"/>
          <w:sz w:val="32"/>
          <w:szCs w:val="32"/>
          <w:lang w:eastAsia="zh-CN"/>
        </w:rPr>
      </w:pPr>
      <w:r>
        <w:rPr>
          <w:rFonts w:hint="default" w:ascii="Times New Roman" w:hAnsi="Times New Roman" w:eastAsia="宋体" w:cs="Times New Roman"/>
          <w:b/>
          <w:bCs/>
          <w:color w:val="auto"/>
          <w:sz w:val="28"/>
          <w:szCs w:val="28"/>
          <w:lang w:eastAsia="zh-CN"/>
        </w:rPr>
        <w:t>竣工环境保护验收其他需要说明的事项</w:t>
      </w:r>
    </w:p>
    <w:p w14:paraId="7FEAF90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14:paraId="37916CE9">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color w:val="auto"/>
          <w:sz w:val="28"/>
          <w:szCs w:val="28"/>
        </w:rPr>
      </w:pPr>
      <w:r>
        <w:rPr>
          <w:rFonts w:hint="default" w:ascii="Times New Roman" w:hAnsi="Times New Roman" w:cs="Times New Roman" w:eastAsiaTheme="minorEastAsia"/>
          <w:b/>
          <w:color w:val="auto"/>
          <w:sz w:val="28"/>
          <w:szCs w:val="28"/>
          <w:lang w:val="en-US" w:eastAsia="zh-CN"/>
        </w:rPr>
        <w:t xml:space="preserve">1 </w:t>
      </w:r>
      <w:r>
        <w:rPr>
          <w:rFonts w:hint="default" w:ascii="Times New Roman" w:hAnsi="Times New Roman" w:cs="Times New Roman" w:eastAsiaTheme="minorEastAsia"/>
          <w:b/>
          <w:color w:val="auto"/>
          <w:sz w:val="28"/>
          <w:szCs w:val="28"/>
        </w:rPr>
        <w:t>环境保护设施设计、施工和验收过程简况</w:t>
      </w:r>
    </w:p>
    <w:p w14:paraId="542E3359">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color w:val="auto"/>
          <w:sz w:val="28"/>
          <w:szCs w:val="28"/>
          <w:lang w:val="en-US" w:eastAsia="zh-CN"/>
        </w:rPr>
      </w:pPr>
      <w:r>
        <w:rPr>
          <w:rFonts w:hint="default" w:ascii="Times New Roman" w:hAnsi="Times New Roman" w:cs="Times New Roman" w:eastAsiaTheme="minorEastAsia"/>
          <w:b/>
          <w:color w:val="auto"/>
          <w:sz w:val="28"/>
          <w:szCs w:val="28"/>
          <w:lang w:val="en-US" w:eastAsia="zh-CN"/>
        </w:rPr>
        <w:t>1.1 项目</w:t>
      </w:r>
      <w:r>
        <w:rPr>
          <w:rFonts w:hint="default" w:ascii="Times New Roman" w:hAnsi="Times New Roman" w:cs="Times New Roman" w:eastAsiaTheme="minorEastAsia"/>
          <w:b/>
          <w:color w:val="auto"/>
          <w:sz w:val="28"/>
          <w:szCs w:val="28"/>
        </w:rPr>
        <w:t>设计简况</w:t>
      </w:r>
      <w:r>
        <w:rPr>
          <w:rFonts w:hint="default" w:ascii="Times New Roman" w:hAnsi="Times New Roman" w:cs="Times New Roman" w:eastAsiaTheme="minorEastAsia"/>
          <w:b/>
          <w:color w:val="auto"/>
          <w:sz w:val="28"/>
          <w:szCs w:val="28"/>
          <w:lang w:val="en-US" w:eastAsia="zh-CN"/>
        </w:rPr>
        <w:t xml:space="preserve"> </w:t>
      </w:r>
    </w:p>
    <w:p w14:paraId="466236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本</w:t>
      </w:r>
      <w:r>
        <w:rPr>
          <w:rFonts w:hint="default" w:ascii="Times New Roman" w:hAnsi="Times New Roman" w:cs="Times New Roman" w:eastAsiaTheme="minorEastAsia"/>
          <w:color w:val="auto"/>
          <w:sz w:val="24"/>
          <w:szCs w:val="24"/>
          <w:lang w:val="en-US" w:eastAsia="zh-CN"/>
        </w:rPr>
        <w:t>项目的环境保护设施</w:t>
      </w:r>
      <w:r>
        <w:rPr>
          <w:rFonts w:hint="eastAsia" w:ascii="Times New Roman" w:hAnsi="Times New Roman" w:cs="Times New Roman" w:eastAsiaTheme="minorEastAsia"/>
          <w:color w:val="auto"/>
          <w:sz w:val="24"/>
          <w:szCs w:val="24"/>
          <w:lang w:val="en-US" w:eastAsia="zh-CN"/>
        </w:rPr>
        <w:t>未</w:t>
      </w:r>
      <w:r>
        <w:rPr>
          <w:rFonts w:hint="default" w:ascii="Times New Roman" w:hAnsi="Times New Roman" w:cs="Times New Roman" w:eastAsiaTheme="minorEastAsia"/>
          <w:color w:val="auto"/>
          <w:sz w:val="24"/>
          <w:szCs w:val="24"/>
          <w:lang w:val="en-US" w:eastAsia="zh-CN"/>
        </w:rPr>
        <w:t>纳入了初步设计，环境保护设施的设计符合环境保护设计规范的要求，落实了防治污染和生态破环的措施以及环境保护设施投资概算。</w:t>
      </w:r>
    </w:p>
    <w:p w14:paraId="07BDFEA5">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color w:val="auto"/>
          <w:sz w:val="28"/>
          <w:szCs w:val="28"/>
          <w:lang w:val="en-US" w:eastAsia="zh-CN"/>
        </w:rPr>
      </w:pPr>
      <w:r>
        <w:rPr>
          <w:rFonts w:hint="default" w:ascii="Times New Roman" w:hAnsi="Times New Roman" w:cs="Times New Roman" w:eastAsiaTheme="minorEastAsia"/>
          <w:b/>
          <w:color w:val="auto"/>
          <w:sz w:val="28"/>
          <w:szCs w:val="28"/>
          <w:lang w:val="en-US" w:eastAsia="zh-CN"/>
        </w:rPr>
        <w:t>1.2</w:t>
      </w:r>
      <w:r>
        <w:rPr>
          <w:rFonts w:hint="eastAsia" w:ascii="Times New Roman" w:hAnsi="Times New Roman" w:cs="Times New Roman" w:eastAsiaTheme="minorEastAsia"/>
          <w:b/>
          <w:color w:val="auto"/>
          <w:sz w:val="28"/>
          <w:szCs w:val="28"/>
          <w:lang w:val="en-US" w:eastAsia="zh-CN"/>
        </w:rPr>
        <w:t xml:space="preserve"> 项目</w:t>
      </w:r>
      <w:r>
        <w:rPr>
          <w:rFonts w:hint="default" w:ascii="Times New Roman" w:hAnsi="Times New Roman" w:cs="Times New Roman" w:eastAsiaTheme="minorEastAsia"/>
          <w:b/>
          <w:color w:val="auto"/>
          <w:sz w:val="28"/>
          <w:szCs w:val="28"/>
          <w:lang w:val="en-US" w:eastAsia="zh-CN"/>
        </w:rPr>
        <w:t>施工简况</w:t>
      </w:r>
      <w:r>
        <w:rPr>
          <w:rFonts w:hint="eastAsia" w:ascii="Times New Roman" w:hAnsi="Times New Roman" w:cs="Times New Roman" w:eastAsiaTheme="minorEastAsia"/>
          <w:b/>
          <w:color w:val="auto"/>
          <w:sz w:val="28"/>
          <w:szCs w:val="28"/>
          <w:lang w:val="en-US" w:eastAsia="zh-CN"/>
        </w:rPr>
        <w:t xml:space="preserve"> </w:t>
      </w:r>
    </w:p>
    <w:p w14:paraId="092A49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14:paraId="3AF6AE18">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color w:val="auto"/>
          <w:sz w:val="28"/>
          <w:szCs w:val="28"/>
          <w:lang w:val="en-US" w:eastAsia="zh-CN"/>
        </w:rPr>
      </w:pPr>
      <w:r>
        <w:rPr>
          <w:rFonts w:hint="default" w:ascii="Times New Roman" w:hAnsi="Times New Roman" w:cs="Times New Roman" w:eastAsiaTheme="minorEastAsia"/>
          <w:b/>
          <w:color w:val="auto"/>
          <w:sz w:val="28"/>
          <w:szCs w:val="28"/>
          <w:lang w:val="en-US" w:eastAsia="zh-CN"/>
        </w:rPr>
        <w:t>1.3</w:t>
      </w:r>
      <w:r>
        <w:rPr>
          <w:rFonts w:hint="eastAsia" w:ascii="Times New Roman" w:hAnsi="Times New Roman" w:cs="Times New Roman" w:eastAsiaTheme="minorEastAsia"/>
          <w:b/>
          <w:color w:val="auto"/>
          <w:sz w:val="28"/>
          <w:szCs w:val="28"/>
          <w:lang w:val="en-US" w:eastAsia="zh-CN"/>
        </w:rPr>
        <w:t xml:space="preserve"> 项目</w:t>
      </w:r>
      <w:r>
        <w:rPr>
          <w:rFonts w:hint="default" w:ascii="Times New Roman" w:hAnsi="Times New Roman" w:cs="Times New Roman" w:eastAsiaTheme="minorEastAsia"/>
          <w:b/>
          <w:color w:val="auto"/>
          <w:sz w:val="28"/>
          <w:szCs w:val="28"/>
          <w:lang w:val="en-US" w:eastAsia="zh-CN"/>
        </w:rPr>
        <w:t>验收过程简况</w:t>
      </w:r>
      <w:r>
        <w:rPr>
          <w:rFonts w:hint="eastAsia" w:ascii="Times New Roman" w:hAnsi="Times New Roman" w:cs="Times New Roman" w:eastAsiaTheme="minorEastAsia"/>
          <w:b/>
          <w:color w:val="auto"/>
          <w:sz w:val="28"/>
          <w:szCs w:val="28"/>
          <w:lang w:val="en-US" w:eastAsia="zh-CN"/>
        </w:rPr>
        <w:t xml:space="preserve"> </w:t>
      </w:r>
    </w:p>
    <w:p w14:paraId="6F2855EF">
      <w:pPr>
        <w:widowControl w:val="0"/>
        <w:spacing w:line="360" w:lineRule="auto"/>
        <w:ind w:firstLine="480" w:firstLineChars="200"/>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聊城凯建新能源有限公司，成立于2022年，位于山东省聊城市，主要经营范围为：新能源技术研发；木材加工；软木制品销售；软木制品制造等。建设项目为《聊城凯建新能源有限公司年加工5万吨生物质颗粒项目》，项目位于聊城市茌平区信发街道翰林路东446号(茌平县永通汽车运输有限公司院内)（东经116度12分28.485秒，北纬36度37分1.045秒）。项目租赁现有车间进行建设，占地面积1860平方米（土地性质为工业用地）。主要购置破碎机1台，粉碎机1台，造粒机3台，料仓6个，沙克龙4台，绞龙7个，皮带8条，黄油泵10个，冷却仓1个，叉车2台，装载机2台等设备共计45台，主要进行生物质颗粒的加工，项目建成后可实现年加工5万吨生物质颗粒的生产能力力</w:t>
      </w:r>
      <w:r>
        <w:rPr>
          <w:rFonts w:hint="eastAsia" w:ascii="Times New Roman" w:hAnsi="Times New Roman" w:eastAsia="宋体" w:cs="Times New Roman"/>
          <w:color w:val="auto"/>
          <w:sz w:val="24"/>
          <w:szCs w:val="24"/>
          <w:highlight w:val="none"/>
          <w:lang w:eastAsia="zh-CN"/>
        </w:rPr>
        <w:t>。</w:t>
      </w:r>
    </w:p>
    <w:p w14:paraId="69AAB5DA">
      <w:pPr>
        <w:widowControl w:val="0"/>
        <w:spacing w:line="360" w:lineRule="auto"/>
        <w:ind w:firstLine="480" w:firstLineChars="200"/>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20</w:t>
      </w:r>
      <w:r>
        <w:rPr>
          <w:rFonts w:hint="eastAsia" w:ascii="Times New Roman" w:hAnsi="Times New Roman" w:eastAsia="宋体"/>
          <w:color w:val="auto"/>
          <w:sz w:val="24"/>
          <w:szCs w:val="24"/>
          <w:highlight w:val="none"/>
          <w:lang w:val="en-US" w:eastAsia="zh-CN"/>
        </w:rPr>
        <w:t>24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6</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聊城凯建新能源有限公司</w:t>
      </w:r>
      <w:r>
        <w:rPr>
          <w:rFonts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山东蔚海蓝天环境科技集团有限公司</w:t>
      </w:r>
      <w:r>
        <w:rPr>
          <w:rFonts w:ascii="Times New Roman" w:hAnsi="Times New Roman" w:eastAsia="宋体"/>
          <w:color w:val="auto"/>
          <w:sz w:val="24"/>
          <w:szCs w:val="24"/>
          <w:highlight w:val="none"/>
        </w:rPr>
        <w:t>编制《</w:t>
      </w:r>
      <w:r>
        <w:rPr>
          <w:rFonts w:hint="eastAsia" w:ascii="Times New Roman" w:hAnsi="Times New Roman" w:eastAsia="宋体"/>
          <w:color w:val="auto"/>
          <w:sz w:val="24"/>
          <w:szCs w:val="24"/>
          <w:highlight w:val="none"/>
          <w:lang w:eastAsia="zh-CN"/>
        </w:rPr>
        <w:t>聊城凯建新能源有限公司年加工5万吨生物质颗粒项目</w:t>
      </w:r>
      <w:r>
        <w:rPr>
          <w:rFonts w:ascii="Times New Roman" w:hAnsi="Times New Roman" w:eastAsia="宋体"/>
          <w:color w:val="auto"/>
          <w:sz w:val="24"/>
          <w:szCs w:val="24"/>
          <w:highlight w:val="none"/>
        </w:rPr>
        <w:t>》，20</w:t>
      </w:r>
      <w:r>
        <w:rPr>
          <w:rFonts w:hint="eastAsia" w:ascii="Times New Roman" w:hAnsi="Times New Roman" w:eastAsia="宋体"/>
          <w:color w:val="auto"/>
          <w:sz w:val="24"/>
          <w:szCs w:val="24"/>
          <w:highlight w:val="none"/>
          <w:lang w:val="en-US" w:eastAsia="zh-CN"/>
        </w:rPr>
        <w:t>24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12</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6</w:t>
      </w:r>
      <w:r>
        <w:rPr>
          <w:rFonts w:ascii="Times New Roman" w:hAnsi="Times New Roman" w:eastAsia="宋体"/>
          <w:color w:val="auto"/>
          <w:sz w:val="24"/>
          <w:szCs w:val="24"/>
          <w:highlight w:val="none"/>
        </w:rPr>
        <w:t>日聊城市茌平区行政审批服务局以</w:t>
      </w:r>
      <w:r>
        <w:rPr>
          <w:rFonts w:hint="eastAsia" w:ascii="Times New Roman" w:hAnsi="Times New Roman" w:eastAsia="宋体"/>
          <w:color w:val="auto"/>
          <w:sz w:val="24"/>
          <w:szCs w:val="24"/>
          <w:highlight w:val="none"/>
          <w:lang w:eastAsia="zh-CN"/>
        </w:rPr>
        <w:t>聊茌行审环管〔202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135</w:t>
      </w:r>
      <w:r>
        <w:rPr>
          <w:rFonts w:hint="eastAsia" w:ascii="Times New Roman" w:hAnsi="Times New Roman" w:eastAsia="宋体"/>
          <w:color w:val="auto"/>
          <w:sz w:val="24"/>
          <w:szCs w:val="24"/>
          <w:highlight w:val="none"/>
          <w:lang w:eastAsia="zh-CN"/>
        </w:rPr>
        <w:t>号</w:t>
      </w:r>
      <w:r>
        <w:rPr>
          <w:rFonts w:hint="eastAsia" w:ascii="Times New Roman" w:hAnsi="Times New Roman" w:eastAsia="宋体"/>
          <w:color w:val="auto"/>
          <w:sz w:val="24"/>
          <w:szCs w:val="24"/>
          <w:highlight w:val="none"/>
        </w:rPr>
        <w:t>文</w:t>
      </w:r>
      <w:r>
        <w:rPr>
          <w:rFonts w:ascii="Times New Roman" w:hAnsi="Times New Roman" w:eastAsia="宋体"/>
          <w:color w:val="auto"/>
          <w:sz w:val="24"/>
          <w:szCs w:val="24"/>
          <w:highlight w:val="none"/>
        </w:rPr>
        <w:t>对该项目进行了批复。</w:t>
      </w:r>
    </w:p>
    <w:p w14:paraId="77F6F863">
      <w:pPr>
        <w:widowControl w:val="0"/>
        <w:spacing w:line="360" w:lineRule="auto"/>
        <w:ind w:firstLine="480" w:firstLineChars="200"/>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20</w:t>
      </w:r>
      <w:r>
        <w:rPr>
          <w:rFonts w:hint="eastAsia" w:ascii="Times New Roman" w:hAnsi="Times New Roman" w:eastAsia="宋体"/>
          <w:color w:val="auto"/>
          <w:sz w:val="24"/>
          <w:szCs w:val="24"/>
          <w:highlight w:val="none"/>
          <w:lang w:val="en-US" w:eastAsia="zh-CN"/>
        </w:rPr>
        <w:t>24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6</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聊城凯建新能源有限公司</w:t>
      </w:r>
      <w:r>
        <w:rPr>
          <w:rFonts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山东蔚海蓝天环境科技集团有限公司</w:t>
      </w:r>
      <w:r>
        <w:rPr>
          <w:rFonts w:ascii="Times New Roman" w:hAnsi="Times New Roman" w:eastAsia="宋体"/>
          <w:color w:val="auto"/>
          <w:sz w:val="24"/>
          <w:szCs w:val="24"/>
          <w:highlight w:val="none"/>
        </w:rPr>
        <w:t>编制《</w:t>
      </w:r>
      <w:r>
        <w:rPr>
          <w:rFonts w:hint="eastAsia" w:ascii="Times New Roman" w:hAnsi="Times New Roman" w:eastAsia="宋体"/>
          <w:color w:val="auto"/>
          <w:sz w:val="24"/>
          <w:szCs w:val="24"/>
          <w:highlight w:val="none"/>
          <w:lang w:eastAsia="zh-CN"/>
        </w:rPr>
        <w:t>聊城凯建新能源有限公司年加工5万吨生物质颗粒项目</w:t>
      </w:r>
      <w:r>
        <w:rPr>
          <w:rFonts w:ascii="Times New Roman" w:hAnsi="Times New Roman" w:eastAsia="宋体"/>
          <w:color w:val="auto"/>
          <w:sz w:val="24"/>
          <w:szCs w:val="24"/>
          <w:highlight w:val="none"/>
        </w:rPr>
        <w:t>》，20</w:t>
      </w:r>
      <w:r>
        <w:rPr>
          <w:rFonts w:hint="eastAsia" w:ascii="Times New Roman" w:hAnsi="Times New Roman" w:eastAsia="宋体"/>
          <w:color w:val="auto"/>
          <w:sz w:val="24"/>
          <w:szCs w:val="24"/>
          <w:highlight w:val="none"/>
          <w:lang w:val="en-US" w:eastAsia="zh-CN"/>
        </w:rPr>
        <w:t>24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12</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6</w:t>
      </w:r>
      <w:r>
        <w:rPr>
          <w:rFonts w:ascii="Times New Roman" w:hAnsi="Times New Roman" w:eastAsia="宋体"/>
          <w:color w:val="auto"/>
          <w:sz w:val="24"/>
          <w:szCs w:val="24"/>
          <w:highlight w:val="none"/>
        </w:rPr>
        <w:t>日聊城市茌平区行政审批服务局以</w:t>
      </w:r>
      <w:r>
        <w:rPr>
          <w:rFonts w:hint="eastAsia" w:ascii="Times New Roman" w:hAnsi="Times New Roman" w:eastAsia="宋体"/>
          <w:color w:val="auto"/>
          <w:sz w:val="24"/>
          <w:szCs w:val="24"/>
          <w:highlight w:val="none"/>
          <w:lang w:eastAsia="zh-CN"/>
        </w:rPr>
        <w:t>聊茌行审环管〔202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135</w:t>
      </w:r>
      <w:r>
        <w:rPr>
          <w:rFonts w:hint="eastAsia" w:ascii="Times New Roman" w:hAnsi="Times New Roman" w:eastAsia="宋体"/>
          <w:color w:val="auto"/>
          <w:sz w:val="24"/>
          <w:szCs w:val="24"/>
          <w:highlight w:val="none"/>
          <w:lang w:eastAsia="zh-CN"/>
        </w:rPr>
        <w:t>号</w:t>
      </w:r>
      <w:r>
        <w:rPr>
          <w:rFonts w:hint="eastAsia" w:ascii="Times New Roman" w:hAnsi="Times New Roman" w:eastAsia="宋体"/>
          <w:color w:val="auto"/>
          <w:sz w:val="24"/>
          <w:szCs w:val="24"/>
          <w:highlight w:val="none"/>
        </w:rPr>
        <w:t>文</w:t>
      </w:r>
      <w:r>
        <w:rPr>
          <w:rFonts w:ascii="Times New Roman" w:hAnsi="Times New Roman" w:eastAsia="宋体"/>
          <w:color w:val="auto"/>
          <w:sz w:val="24"/>
          <w:szCs w:val="24"/>
          <w:highlight w:val="none"/>
        </w:rPr>
        <w:t>对该项目进行了批复。</w:t>
      </w:r>
    </w:p>
    <w:p w14:paraId="7BF93B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color w:val="auto"/>
          <w:sz w:val="24"/>
          <w:szCs w:val="24"/>
          <w:lang w:val="en-US" w:eastAsia="zh-CN"/>
        </w:rPr>
      </w:pPr>
      <w:r>
        <w:rPr>
          <w:rFonts w:hint="eastAsia" w:ascii="Times New Roman" w:hAnsi="Times New Roman" w:eastAsia="宋体" w:cs="Times New Roman"/>
          <w:color w:val="auto"/>
          <w:sz w:val="24"/>
          <w:szCs w:val="24"/>
          <w:highlight w:val="none"/>
          <w:lang w:val="en-US" w:eastAsia="zh-CN"/>
        </w:rPr>
        <w:t>2025年6月，</w:t>
      </w:r>
      <w:r>
        <w:rPr>
          <w:rFonts w:hint="eastAsia" w:ascii="Times New Roman" w:hAnsi="Times New Roman" w:eastAsia="宋体" w:cs="Times New Roman"/>
          <w:color w:val="auto"/>
          <w:sz w:val="24"/>
          <w:szCs w:val="24"/>
          <w:highlight w:val="none"/>
          <w:lang w:eastAsia="zh-CN"/>
        </w:rPr>
        <w:t>聊城凯建新能源有限公司</w:t>
      </w:r>
      <w:r>
        <w:rPr>
          <w:rFonts w:ascii="Times New Roman" w:hAnsi="Times New Roman" w:eastAsia="宋体" w:cs="Times New Roman"/>
          <w:color w:val="auto"/>
          <w:sz w:val="24"/>
          <w:szCs w:val="24"/>
          <w:highlight w:val="none"/>
        </w:rPr>
        <w:t>委托</w:t>
      </w:r>
      <w:r>
        <w:rPr>
          <w:rFonts w:hint="eastAsia" w:ascii="Times New Roman" w:hAnsi="Times New Roman" w:eastAsia="宋体" w:cs="Times New Roman"/>
          <w:color w:val="auto"/>
          <w:sz w:val="24"/>
          <w:szCs w:val="24"/>
          <w:highlight w:val="none"/>
          <w:lang w:eastAsia="zh-CN"/>
        </w:rPr>
        <w:t>山东玖玺环保科技有限公司</w:t>
      </w:r>
      <w:r>
        <w:rPr>
          <w:rFonts w:ascii="Times New Roman" w:hAnsi="Times New Roman" w:eastAsia="宋体" w:cs="Times New Roman"/>
          <w:color w:val="auto"/>
          <w:sz w:val="24"/>
          <w:szCs w:val="24"/>
          <w:highlight w:val="none"/>
        </w:rPr>
        <w:t>于202</w:t>
      </w:r>
      <w:r>
        <w:rPr>
          <w:rFonts w:hint="eastAsia" w:ascii="Times New Roman" w:hAnsi="Times New Roman" w:eastAsia="宋体"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06</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06</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06</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07</w:t>
      </w:r>
      <w:r>
        <w:rPr>
          <w:rFonts w:ascii="Times New Roman" w:hAnsi="Times New Roman" w:eastAsia="宋体" w:cs="Times New Roman"/>
          <w:color w:val="auto"/>
          <w:sz w:val="24"/>
          <w:szCs w:val="24"/>
          <w:highlight w:val="none"/>
        </w:rPr>
        <w:t>日对</w:t>
      </w:r>
      <w:r>
        <w:rPr>
          <w:rFonts w:hint="eastAsia" w:ascii="Times New Roman" w:hAnsi="Times New Roman" w:eastAsia="宋体" w:cs="Times New Roman"/>
          <w:color w:val="auto"/>
          <w:sz w:val="24"/>
          <w:szCs w:val="24"/>
          <w:highlight w:val="none"/>
          <w:lang w:val="en-US" w:eastAsia="zh-CN"/>
        </w:rPr>
        <w:t>聊城凯建新能源有限公司年加工5万吨生物质颗粒项目</w:t>
      </w:r>
      <w:r>
        <w:rPr>
          <w:rFonts w:ascii="Times New Roman" w:hAnsi="Times New Roman" w:eastAsia="宋体" w:cs="Times New Roman"/>
          <w:color w:val="auto"/>
          <w:sz w:val="24"/>
          <w:szCs w:val="24"/>
          <w:highlight w:val="none"/>
        </w:rPr>
        <w:t>进行了验收检测。后对检测数据进行分析论证，在此基础上完成了项目竣工环境保护验收监测报告表的编制。</w:t>
      </w:r>
      <w:r>
        <w:rPr>
          <w:rFonts w:hint="eastAsia" w:ascii="Times New Roman" w:hAnsi="Times New Roman" w:eastAsia="宋体" w:cs="Times New Roman"/>
          <w:color w:val="auto"/>
          <w:sz w:val="24"/>
          <w:szCs w:val="24"/>
          <w:highlight w:val="none"/>
          <w:lang w:eastAsia="zh-CN"/>
        </w:rPr>
        <w:t>本次项目验收范围为</w:t>
      </w:r>
      <w:r>
        <w:rPr>
          <w:rFonts w:hint="eastAsia" w:ascii="Times New Roman" w:hAnsi="Times New Roman" w:eastAsia="宋体" w:cs="Times New Roman"/>
          <w:color w:val="auto"/>
          <w:sz w:val="24"/>
          <w:szCs w:val="24"/>
          <w:highlight w:val="none"/>
          <w:lang w:val="en-US" w:eastAsia="zh-CN"/>
        </w:rPr>
        <w:t>聊城凯建新能源有限公司年加工5万吨生物质颗粒项目。2025年06月聊城凯建新能源有限公司委托山东玖玺环保科技有限公司对聊城凯建新能源有限公司年加工5万吨生物质颗粒项目进行自主验收并验收通过。</w:t>
      </w:r>
      <w:r>
        <w:rPr>
          <w:rFonts w:hint="eastAsia" w:ascii="Times New Roman" w:hAnsi="Times New Roman" w:eastAsia="宋体"/>
          <w:color w:val="auto"/>
          <w:sz w:val="24"/>
          <w:szCs w:val="24"/>
          <w:highlight w:val="none"/>
          <w:lang w:eastAsia="zh-CN"/>
        </w:rPr>
        <w:t>2025年0</w:t>
      </w:r>
      <w:r>
        <w:rPr>
          <w:rFonts w:hint="eastAsia" w:ascii="Times New Roman" w:hAnsi="Times New Roman" w:eastAsia="宋体"/>
          <w:color w:val="auto"/>
          <w:sz w:val="24"/>
          <w:szCs w:val="24"/>
          <w:highlight w:val="none"/>
          <w:lang w:val="en-US" w:eastAsia="zh-CN"/>
        </w:rPr>
        <w:t>6</w:t>
      </w:r>
      <w:r>
        <w:rPr>
          <w:rFonts w:hint="eastAsia" w:ascii="Times New Roman" w:hAnsi="Times New Roman" w:eastAsia="宋体"/>
          <w:color w:val="auto"/>
          <w:sz w:val="24"/>
          <w:szCs w:val="24"/>
          <w:highlight w:val="none"/>
          <w:lang w:eastAsia="zh-CN"/>
        </w:rPr>
        <w:t>月</w:t>
      </w:r>
      <w:r>
        <w:rPr>
          <w:rFonts w:hint="eastAsia" w:ascii="Times New Roman" w:hAnsi="Times New Roman" w:eastAsia="宋体"/>
          <w:color w:val="auto"/>
          <w:sz w:val="24"/>
          <w:szCs w:val="24"/>
          <w:highlight w:val="none"/>
          <w:lang w:val="en-US" w:eastAsia="zh-CN"/>
        </w:rPr>
        <w:t>29</w:t>
      </w:r>
      <w:r>
        <w:rPr>
          <w:rFonts w:hint="eastAsia" w:ascii="Times New Roman" w:hAnsi="Times New Roman" w:eastAsia="宋体"/>
          <w:color w:val="auto"/>
          <w:sz w:val="24"/>
          <w:szCs w:val="24"/>
          <w:highlight w:val="none"/>
          <w:lang w:eastAsia="zh-CN"/>
        </w:rPr>
        <w:t>日聊城凯建新能源有限公司</w:t>
      </w:r>
      <w:r>
        <w:rPr>
          <w:rFonts w:hint="eastAsia" w:ascii="Times New Roman" w:hAnsi="Times New Roman" w:eastAsia="宋体"/>
          <w:color w:val="auto"/>
          <w:sz w:val="24"/>
          <w:szCs w:val="24"/>
          <w:highlight w:val="none"/>
        </w:rPr>
        <w:t>组织召开了</w:t>
      </w:r>
      <w:r>
        <w:rPr>
          <w:rFonts w:hint="eastAsia" w:ascii="Times New Roman" w:hAnsi="Times New Roman" w:eastAsia="宋体"/>
          <w:color w:val="auto"/>
          <w:sz w:val="24"/>
          <w:szCs w:val="24"/>
          <w:highlight w:val="none"/>
          <w:lang w:eastAsia="zh-CN"/>
        </w:rPr>
        <w:t>聊城凯建新能源有限公司年加工5万吨生物质颗粒项目</w:t>
      </w:r>
      <w:r>
        <w:rPr>
          <w:rFonts w:hint="eastAsia" w:ascii="Times New Roman" w:hAnsi="Times New Roman" w:eastAsia="宋体"/>
          <w:color w:val="auto"/>
          <w:sz w:val="24"/>
          <w:szCs w:val="24"/>
          <w:highlight w:val="none"/>
        </w:rPr>
        <w:t>竣工环境保护验收现场检查会并会议通过</w:t>
      </w:r>
      <w:r>
        <w:rPr>
          <w:rFonts w:hint="eastAsia" w:ascii="Times New Roman" w:hAnsi="Times New Roman" w:cs="Times New Roman" w:eastAsiaTheme="minorEastAsia"/>
          <w:color w:val="auto"/>
          <w:sz w:val="24"/>
          <w:szCs w:val="24"/>
          <w:lang w:val="en-US" w:eastAsia="zh-CN"/>
        </w:rPr>
        <w:t>。</w:t>
      </w:r>
    </w:p>
    <w:p w14:paraId="4AABBF80">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color w:val="auto"/>
          <w:lang w:val="en-US" w:eastAsia="zh-CN"/>
        </w:rPr>
      </w:pPr>
      <w:r>
        <w:rPr>
          <w:rFonts w:hint="eastAsia" w:ascii="Times New Roman" w:hAnsi="Times New Roman" w:cs="Times New Roman" w:eastAsiaTheme="minorEastAsia"/>
          <w:color w:val="auto"/>
          <w:sz w:val="24"/>
          <w:szCs w:val="24"/>
          <w:lang w:val="en-US" w:eastAsia="zh-CN"/>
        </w:rPr>
        <w:t>验收结论为：</w:t>
      </w:r>
      <w:r>
        <w:rPr>
          <w:rFonts w:hint="eastAsia" w:ascii="Times New Roman" w:hAnsi="Times New Roman" w:eastAsia="宋体" w:cs="Times New Roman"/>
          <w:color w:val="auto"/>
          <w:sz w:val="24"/>
          <w:szCs w:val="24"/>
          <w:highlight w:val="none"/>
          <w:lang w:eastAsia="zh-CN"/>
        </w:rPr>
        <w:t>聊城凯建新能源有限公司</w:t>
      </w:r>
      <w:r>
        <w:rPr>
          <w:rFonts w:hint="eastAsia" w:ascii="Times New Roman" w:hAnsi="Times New Roman" w:cs="Times New Roman" w:eastAsiaTheme="minorEastAsia"/>
          <w:color w:val="auto"/>
          <w:sz w:val="24"/>
          <w:szCs w:val="24"/>
          <w:lang w:val="en-US" w:eastAsia="zh-CN"/>
        </w:rPr>
        <w:t>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w:t>
      </w:r>
      <w:r>
        <w:rPr>
          <w:rFonts w:hint="eastAsia" w:ascii="Times New Roman" w:hAnsi="Times New Roman" w:cs="Times New Roman" w:eastAsiaTheme="minorEastAsia"/>
          <w:color w:val="auto"/>
          <w:sz w:val="24"/>
          <w:szCs w:val="24"/>
          <w:highlight w:val="none"/>
          <w:lang w:val="en-US" w:eastAsia="zh-CN"/>
        </w:rPr>
        <w:t>，于2025年6月29日验</w:t>
      </w:r>
      <w:r>
        <w:rPr>
          <w:rFonts w:hint="eastAsia" w:ascii="Times New Roman" w:hAnsi="Times New Roman" w:cs="Times New Roman" w:eastAsiaTheme="minorEastAsia"/>
          <w:color w:val="auto"/>
          <w:sz w:val="24"/>
          <w:szCs w:val="24"/>
          <w:lang w:val="en-US" w:eastAsia="zh-CN"/>
        </w:rPr>
        <w:t>收工作组原则上同意该项目环保设施通过环保验收。</w:t>
      </w:r>
    </w:p>
    <w:p w14:paraId="322581A2">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color w:val="auto"/>
          <w:sz w:val="28"/>
          <w:szCs w:val="28"/>
          <w:lang w:val="en-US" w:eastAsia="zh-CN"/>
        </w:rPr>
      </w:pPr>
      <w:r>
        <w:rPr>
          <w:rFonts w:hint="eastAsia" w:ascii="Times New Roman" w:hAnsi="Times New Roman" w:cs="Times New Roman" w:eastAsiaTheme="minorEastAsia"/>
          <w:b/>
          <w:color w:val="auto"/>
          <w:sz w:val="28"/>
          <w:szCs w:val="28"/>
          <w:lang w:val="en-US" w:eastAsia="zh-CN"/>
        </w:rPr>
        <w:t xml:space="preserve">1.4 公众反馈意见及处理情况 </w:t>
      </w:r>
    </w:p>
    <w:p w14:paraId="1609FF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建设项目设计、施工和验收期间未收到过公众反馈意见或投诉、反馈或投诉的内容。</w:t>
      </w:r>
    </w:p>
    <w:p w14:paraId="322D57DF">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color w:val="auto"/>
          <w:sz w:val="28"/>
          <w:szCs w:val="28"/>
          <w:lang w:val="en-US" w:eastAsia="zh-CN"/>
        </w:rPr>
      </w:pPr>
      <w:r>
        <w:rPr>
          <w:rFonts w:hint="default" w:ascii="Times New Roman" w:hAnsi="Times New Roman" w:cs="Times New Roman" w:eastAsiaTheme="minorEastAsia"/>
          <w:b/>
          <w:color w:val="auto"/>
          <w:sz w:val="28"/>
          <w:szCs w:val="28"/>
          <w:lang w:val="en-US" w:eastAsia="zh-CN"/>
        </w:rPr>
        <w:t>2</w:t>
      </w:r>
      <w:r>
        <w:rPr>
          <w:rFonts w:hint="eastAsia" w:ascii="Times New Roman" w:hAnsi="Times New Roman" w:cs="Times New Roman" w:eastAsiaTheme="minorEastAsia"/>
          <w:b/>
          <w:color w:val="auto"/>
          <w:sz w:val="28"/>
          <w:szCs w:val="28"/>
          <w:lang w:val="en-US" w:eastAsia="zh-CN"/>
        </w:rPr>
        <w:t xml:space="preserve"> </w:t>
      </w:r>
      <w:r>
        <w:rPr>
          <w:rFonts w:hint="default" w:ascii="Times New Roman" w:hAnsi="Times New Roman" w:cs="Times New Roman" w:eastAsiaTheme="minorEastAsia"/>
          <w:b/>
          <w:color w:val="auto"/>
          <w:sz w:val="28"/>
          <w:szCs w:val="28"/>
          <w:lang w:val="en-US" w:eastAsia="zh-CN"/>
        </w:rPr>
        <w:t>其他环境保护措施的实施情况</w:t>
      </w:r>
      <w:r>
        <w:rPr>
          <w:rFonts w:hint="eastAsia" w:ascii="Times New Roman" w:hAnsi="Times New Roman" w:cs="Times New Roman" w:eastAsiaTheme="minorEastAsia"/>
          <w:b/>
          <w:color w:val="auto"/>
          <w:sz w:val="28"/>
          <w:szCs w:val="28"/>
          <w:lang w:val="en-US" w:eastAsia="zh-CN"/>
        </w:rPr>
        <w:t xml:space="preserve"> </w:t>
      </w:r>
    </w:p>
    <w:p w14:paraId="1C1A3A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14:paraId="4BFDC137">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color w:val="auto"/>
          <w:sz w:val="28"/>
          <w:szCs w:val="28"/>
          <w:lang w:val="en-US" w:eastAsia="zh-CN"/>
        </w:rPr>
      </w:pPr>
      <w:r>
        <w:rPr>
          <w:rFonts w:hint="default" w:ascii="Times New Roman" w:hAnsi="Times New Roman" w:cs="Times New Roman" w:eastAsiaTheme="minorEastAsia"/>
          <w:b/>
          <w:color w:val="auto"/>
          <w:sz w:val="28"/>
          <w:szCs w:val="28"/>
          <w:lang w:val="en-US" w:eastAsia="zh-CN"/>
        </w:rPr>
        <w:t>2.1</w:t>
      </w:r>
      <w:r>
        <w:rPr>
          <w:rFonts w:hint="eastAsia" w:ascii="Times New Roman" w:hAnsi="Times New Roman" w:cs="Times New Roman" w:eastAsiaTheme="minorEastAsia"/>
          <w:b/>
          <w:color w:val="auto"/>
          <w:sz w:val="28"/>
          <w:szCs w:val="28"/>
          <w:lang w:val="en-US" w:eastAsia="zh-CN"/>
        </w:rPr>
        <w:t xml:space="preserve"> </w:t>
      </w:r>
      <w:r>
        <w:rPr>
          <w:rFonts w:hint="default" w:ascii="Times New Roman" w:hAnsi="Times New Roman" w:cs="Times New Roman" w:eastAsiaTheme="minorEastAsia"/>
          <w:b/>
          <w:color w:val="auto"/>
          <w:sz w:val="28"/>
          <w:szCs w:val="28"/>
          <w:lang w:val="en-US" w:eastAsia="zh-CN"/>
        </w:rPr>
        <w:t>制度措施落实情况</w:t>
      </w:r>
      <w:r>
        <w:rPr>
          <w:rFonts w:hint="eastAsia" w:ascii="Times New Roman" w:hAnsi="Times New Roman" w:cs="Times New Roman" w:eastAsiaTheme="minorEastAsia"/>
          <w:b/>
          <w:color w:val="auto"/>
          <w:sz w:val="28"/>
          <w:szCs w:val="28"/>
          <w:lang w:val="en-US" w:eastAsia="zh-CN"/>
        </w:rPr>
        <w:t xml:space="preserve"> </w:t>
      </w:r>
    </w:p>
    <w:p w14:paraId="77E885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（1）环保组织机构及规章制度</w:t>
      </w:r>
    </w:p>
    <w:p w14:paraId="063CEF7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本公司己建立环保组织机构及规章制度。本公司成立了环境保护工作组</w:t>
      </w:r>
      <w:r>
        <w:rPr>
          <w:rFonts w:hint="eastAsia" w:ascii="Times New Roman" w:hAnsi="Times New Roman" w:cs="Times New Roman" w:eastAsiaTheme="minorEastAsia"/>
          <w:color w:val="auto"/>
          <w:sz w:val="24"/>
          <w:szCs w:val="24"/>
          <w:lang w:val="en-US" w:eastAsia="zh-CN"/>
        </w:rPr>
        <w:t>：</w:t>
      </w:r>
    </w:p>
    <w:p w14:paraId="56806D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组长</w:t>
      </w:r>
      <w:r>
        <w:rPr>
          <w:rFonts w:hint="eastAsia" w:ascii="Times New Roman" w:hAnsi="Times New Roman" w:cs="Times New Roman" w:eastAsiaTheme="minorEastAsia"/>
          <w:color w:val="auto"/>
          <w:sz w:val="24"/>
          <w:szCs w:val="24"/>
          <w:lang w:val="en-US" w:eastAsia="zh-CN"/>
        </w:rPr>
        <w:t>：</w:t>
      </w:r>
      <w:r>
        <w:rPr>
          <w:rFonts w:hint="default" w:ascii="Times New Roman" w:hAnsi="Times New Roman" w:cs="Times New Roman" w:eastAsiaTheme="minorEastAsia"/>
          <w:color w:val="auto"/>
          <w:sz w:val="24"/>
          <w:szCs w:val="24"/>
          <w:lang w:val="en-US" w:eastAsia="zh-CN"/>
        </w:rPr>
        <w:t>负责企业环保全面工作，是企业环保的第一责任人。</w:t>
      </w:r>
    </w:p>
    <w:p w14:paraId="04C7BA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副组长</w:t>
      </w:r>
      <w:r>
        <w:rPr>
          <w:rFonts w:hint="eastAsia" w:ascii="Times New Roman" w:hAnsi="Times New Roman" w:cs="Times New Roman" w:eastAsiaTheme="minorEastAsia"/>
          <w:color w:val="auto"/>
          <w:sz w:val="24"/>
          <w:szCs w:val="24"/>
          <w:lang w:val="en-US" w:eastAsia="zh-CN"/>
        </w:rPr>
        <w:t>：</w:t>
      </w:r>
      <w:r>
        <w:rPr>
          <w:rFonts w:hint="default" w:ascii="Times New Roman" w:hAnsi="Times New Roman" w:cs="Times New Roman" w:eastAsiaTheme="minorEastAsia"/>
          <w:color w:val="auto"/>
          <w:sz w:val="24"/>
          <w:szCs w:val="24"/>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14:paraId="73ABA4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本公司针对各项环保设施制订了运行维护管理制度、设施操作规程。</w:t>
      </w:r>
    </w:p>
    <w:p w14:paraId="536EE0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（2）环境风险防范措施</w:t>
      </w:r>
    </w:p>
    <w:p w14:paraId="4D81943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本项目风险防范措施主要为火灾的预防和扑救措施，具体防范措施如下</w:t>
      </w:r>
      <w:r>
        <w:rPr>
          <w:rFonts w:hint="eastAsia" w:ascii="Times New Roman" w:hAnsi="Times New Roman" w:cs="Times New Roman"/>
          <w:color w:val="auto"/>
          <w:sz w:val="24"/>
          <w:szCs w:val="24"/>
          <w:highlight w:val="none"/>
          <w:lang w:val="en-US" w:eastAsia="zh-CN"/>
        </w:rPr>
        <w:t>：</w:t>
      </w:r>
    </w:p>
    <w:p w14:paraId="1183A1A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①成立专门的责任机构，保证事故发生时组织相关力量及时控制事故的危害，在第一时间，有序有效地控制事故污染，把事故危害减小到最小</w:t>
      </w:r>
      <w:r>
        <w:rPr>
          <w:rFonts w:hint="eastAsia" w:ascii="Times New Roman" w:hAnsi="Times New Roman" w:cs="Times New Roman"/>
          <w:color w:val="auto"/>
          <w:sz w:val="24"/>
          <w:szCs w:val="24"/>
          <w:highlight w:val="none"/>
          <w:lang w:val="en-US" w:eastAsia="zh-CN"/>
        </w:rPr>
        <w:t>；</w:t>
      </w:r>
    </w:p>
    <w:p w14:paraId="0FDB36D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②车间原料及成品暂存区域严禁烟火</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并配备灭火器、室内消防栓等应急救援器材，对消防措施定期检查，并定期组织演练</w:t>
      </w:r>
      <w:r>
        <w:rPr>
          <w:rFonts w:hint="eastAsia" w:ascii="Times New Roman" w:hAnsi="Times New Roman" w:cs="Times New Roman"/>
          <w:color w:val="auto"/>
          <w:sz w:val="24"/>
          <w:szCs w:val="24"/>
          <w:highlight w:val="none"/>
          <w:lang w:val="en-US" w:eastAsia="zh-CN"/>
        </w:rPr>
        <w:t>；</w:t>
      </w:r>
    </w:p>
    <w:p w14:paraId="587096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③按有关规定在厂房和建筑物内设置专门的原料暂存区。严格遵守风险防范工作制度，加强防火管理，加强宣传教育。</w:t>
      </w:r>
    </w:p>
    <w:p w14:paraId="7C09E7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④做好生产车间内原料分类存放，合理设置消防灭火装置。</w:t>
      </w:r>
    </w:p>
    <w:p w14:paraId="1440DB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⑤健全各项制度，强化安全管理意识，加强用电设备及线路的检修和管理。</w:t>
      </w:r>
    </w:p>
    <w:p w14:paraId="228D535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⑥厂区备好消防物资，厂区一旦发生火灾应及时在厂区进行消除，厂区生产车间外禁止堆放易燃物质及露天堆放原辅材料。</w:t>
      </w:r>
    </w:p>
    <w:p w14:paraId="59E3EBF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（3）应急预案</w:t>
      </w:r>
    </w:p>
    <w:p w14:paraId="793137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olor w:val="auto"/>
          <w:highlight w:val="none"/>
          <w:lang w:val="en-US" w:eastAsia="zh-CN"/>
        </w:rPr>
      </w:pPr>
      <w:r>
        <w:rPr>
          <w:rFonts w:hint="default" w:ascii="Times New Roman" w:hAnsi="Times New Roman" w:eastAsia="宋体" w:cs="Times New Roman"/>
          <w:color w:val="auto"/>
          <w:sz w:val="24"/>
          <w:szCs w:val="24"/>
          <w:highlight w:val="none"/>
          <w:lang w:val="en-US" w:eastAsia="zh-CN"/>
        </w:rPr>
        <w:t>本次评价以《建设项目环境风险评价技术导则》</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HJ/T169-2018</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为指导，结合《国家突发环境事件应急预案》和《环境污染事故应急预案编制技术指南》相关规定，制定出本项目环境风险应急预案，建设单位必须在此基础上制定更为详细的应急预案及演练计划，同时本项目的环境应急预案应与项目区的环境应急预案相衔接。经采取以上措施后，能够减轻项目润滑油泄漏对周围大气、土壤环境影响。</w:t>
      </w:r>
    </w:p>
    <w:p w14:paraId="685B91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（3）环境监测计划</w:t>
      </w:r>
    </w:p>
    <w:p w14:paraId="1EF201A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olor w:val="auto"/>
          <w:lang w:val="en-US" w:eastAsia="zh-CN"/>
        </w:rPr>
      </w:pPr>
      <w:r>
        <w:rPr>
          <w:rFonts w:hint="eastAsia" w:ascii="Times New Roman" w:hAnsi="Times New Roman" w:cs="Times New Roman" w:eastAsiaTheme="minorEastAsia"/>
          <w:color w:val="auto"/>
          <w:sz w:val="24"/>
          <w:szCs w:val="24"/>
          <w:lang w:val="en-US" w:eastAsia="zh-CN"/>
        </w:rPr>
        <w:t>根据环境影响报告书（表）及其审批部门审批决定要求以及《排污单位自行监测技术指南总则》（</w:t>
      </w:r>
      <w:r>
        <w:rPr>
          <w:rFonts w:hint="default" w:ascii="Times New Roman" w:hAnsi="Times New Roman" w:cs="Times New Roman" w:eastAsiaTheme="minorEastAsia"/>
          <w:color w:val="auto"/>
          <w:sz w:val="24"/>
          <w:szCs w:val="24"/>
          <w:lang w:val="en-US" w:eastAsia="zh-CN"/>
        </w:rPr>
        <w:t>HJ 819-2017</w:t>
      </w:r>
      <w:r>
        <w:rPr>
          <w:rFonts w:hint="eastAsia" w:ascii="Times New Roman" w:hAnsi="Times New Roman" w:cs="Times New Roman" w:eastAsiaTheme="minorEastAsia"/>
          <w:color w:val="auto"/>
          <w:sz w:val="24"/>
          <w:szCs w:val="24"/>
          <w:lang w:val="en-US" w:eastAsia="zh-CN"/>
        </w:rPr>
        <w:t xml:space="preserve">）表 </w:t>
      </w:r>
      <w:r>
        <w:rPr>
          <w:rFonts w:hint="default" w:ascii="Times New Roman" w:hAnsi="Times New Roman" w:cs="Times New Roman" w:eastAsiaTheme="minorEastAsia"/>
          <w:color w:val="auto"/>
          <w:sz w:val="24"/>
          <w:szCs w:val="24"/>
          <w:lang w:val="en-US" w:eastAsia="zh-CN"/>
        </w:rPr>
        <w:t xml:space="preserve">1 </w:t>
      </w:r>
      <w:r>
        <w:rPr>
          <w:rFonts w:hint="eastAsia" w:ascii="Times New Roman" w:hAnsi="Times New Roman" w:cs="Times New Roman" w:eastAsiaTheme="minorEastAsia"/>
          <w:color w:val="auto"/>
          <w:sz w:val="24"/>
          <w:szCs w:val="24"/>
          <w:lang w:val="en-US" w:eastAsia="zh-CN"/>
        </w:rPr>
        <w:t xml:space="preserve">非重点排污单位、其他排放口的监测指标自行监测要求，本项目自行监测计划见下表： </w:t>
      </w:r>
    </w:p>
    <w:p w14:paraId="32F6BF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color w:val="auto"/>
        </w:rPr>
      </w:pPr>
      <w:r>
        <w:rPr>
          <w:rFonts w:hint="eastAsia" w:ascii="宋体" w:hAnsi="宋体" w:eastAsia="宋体" w:cs="宋体"/>
          <w:b/>
          <w:bCs/>
          <w:color w:val="auto"/>
          <w:kern w:val="0"/>
          <w:sz w:val="24"/>
          <w:szCs w:val="24"/>
          <w:lang w:val="en-US" w:eastAsia="zh-CN" w:bidi="ar"/>
        </w:rPr>
        <w:t>项目自行监测计划一览表</w:t>
      </w:r>
    </w:p>
    <w:tbl>
      <w:tblPr>
        <w:tblStyle w:val="18"/>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2873"/>
        <w:gridCol w:w="2171"/>
        <w:gridCol w:w="2172"/>
      </w:tblGrid>
      <w:tr w14:paraId="03414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47962071">
            <w:pPr>
              <w:keepNext w:val="0"/>
              <w:keepLines w:val="0"/>
              <w:widowControl/>
              <w:suppressLineNumbers w:val="0"/>
              <w:jc w:val="center"/>
              <w:rPr>
                <w:rFonts w:hint="default" w:ascii="Times New Roman" w:hAnsi="Times New Roman" w:cs="Times New Roman" w:eastAsiaTheme="minorEastAsia"/>
                <w:color w:val="auto"/>
                <w:sz w:val="24"/>
                <w:szCs w:val="24"/>
                <w:vertAlign w:val="baseline"/>
                <w:lang w:val="en-US" w:eastAsia="zh-CN"/>
              </w:rPr>
            </w:pPr>
            <w:r>
              <w:rPr>
                <w:rFonts w:hint="eastAsia" w:ascii="宋体" w:hAnsi="宋体" w:eastAsia="宋体" w:cs="宋体"/>
                <w:b/>
                <w:bCs/>
                <w:color w:val="auto"/>
                <w:kern w:val="0"/>
                <w:sz w:val="24"/>
                <w:szCs w:val="24"/>
                <w:lang w:val="en-US" w:eastAsia="zh-CN" w:bidi="ar"/>
              </w:rPr>
              <w:t>监测点位</w:t>
            </w:r>
          </w:p>
        </w:tc>
        <w:tc>
          <w:tcPr>
            <w:tcW w:w="2873" w:type="dxa"/>
            <w:tcBorders>
              <w:tl2br w:val="nil"/>
              <w:tr2bl w:val="nil"/>
            </w:tcBorders>
            <w:vAlign w:val="center"/>
          </w:tcPr>
          <w:p w14:paraId="25331526">
            <w:pPr>
              <w:keepNext w:val="0"/>
              <w:keepLines w:val="0"/>
              <w:widowControl/>
              <w:suppressLineNumbers w:val="0"/>
              <w:jc w:val="center"/>
              <w:rPr>
                <w:rFonts w:hint="default" w:ascii="Times New Roman" w:hAnsi="Times New Roman" w:cs="Times New Roman" w:eastAsiaTheme="minorEastAsia"/>
                <w:color w:val="auto"/>
                <w:sz w:val="24"/>
                <w:szCs w:val="24"/>
                <w:vertAlign w:val="baseline"/>
                <w:lang w:val="en-US" w:eastAsia="zh-CN"/>
              </w:rPr>
            </w:pPr>
            <w:r>
              <w:rPr>
                <w:rFonts w:hint="eastAsia" w:ascii="宋体" w:hAnsi="宋体" w:eastAsia="宋体" w:cs="宋体"/>
                <w:b/>
                <w:bCs/>
                <w:color w:val="auto"/>
                <w:kern w:val="0"/>
                <w:sz w:val="24"/>
                <w:szCs w:val="24"/>
                <w:lang w:val="en-US" w:eastAsia="zh-CN" w:bidi="ar"/>
              </w:rPr>
              <w:t>检测因子</w:t>
            </w:r>
          </w:p>
        </w:tc>
        <w:tc>
          <w:tcPr>
            <w:tcW w:w="2171" w:type="dxa"/>
            <w:tcBorders>
              <w:tl2br w:val="nil"/>
              <w:tr2bl w:val="nil"/>
            </w:tcBorders>
            <w:vAlign w:val="center"/>
          </w:tcPr>
          <w:p w14:paraId="473EBF7C">
            <w:pPr>
              <w:keepNext w:val="0"/>
              <w:keepLines w:val="0"/>
              <w:widowControl/>
              <w:suppressLineNumbers w:val="0"/>
              <w:jc w:val="center"/>
              <w:rPr>
                <w:rFonts w:hint="default" w:ascii="Times New Roman" w:hAnsi="Times New Roman" w:cs="Times New Roman" w:eastAsiaTheme="minorEastAsia"/>
                <w:color w:val="auto"/>
                <w:sz w:val="24"/>
                <w:szCs w:val="24"/>
                <w:vertAlign w:val="baseline"/>
                <w:lang w:val="en-US" w:eastAsia="zh-CN"/>
              </w:rPr>
            </w:pPr>
            <w:r>
              <w:rPr>
                <w:rFonts w:hint="eastAsia" w:ascii="宋体" w:hAnsi="宋体" w:eastAsia="宋体" w:cs="宋体"/>
                <w:b/>
                <w:bCs/>
                <w:color w:val="auto"/>
                <w:kern w:val="0"/>
                <w:sz w:val="24"/>
                <w:szCs w:val="24"/>
                <w:lang w:val="en-US" w:eastAsia="zh-CN" w:bidi="ar"/>
              </w:rPr>
              <w:t>监测频次</w:t>
            </w:r>
          </w:p>
        </w:tc>
        <w:tc>
          <w:tcPr>
            <w:tcW w:w="2172" w:type="dxa"/>
            <w:tcBorders>
              <w:tl2br w:val="nil"/>
              <w:tr2bl w:val="nil"/>
            </w:tcBorders>
            <w:vAlign w:val="center"/>
          </w:tcPr>
          <w:p w14:paraId="049BBB25">
            <w:pPr>
              <w:keepNext w:val="0"/>
              <w:keepLines w:val="0"/>
              <w:widowControl/>
              <w:suppressLineNumbers w:val="0"/>
              <w:jc w:val="center"/>
              <w:rPr>
                <w:rFonts w:hint="default" w:ascii="Times New Roman" w:hAnsi="Times New Roman" w:cs="Times New Roman" w:eastAsiaTheme="minorEastAsia"/>
                <w:color w:val="auto"/>
                <w:sz w:val="24"/>
                <w:szCs w:val="24"/>
                <w:vertAlign w:val="baseline"/>
                <w:lang w:val="en-US" w:eastAsia="zh-CN"/>
              </w:rPr>
            </w:pPr>
            <w:r>
              <w:rPr>
                <w:rFonts w:hint="eastAsia" w:ascii="宋体" w:hAnsi="宋体" w:eastAsia="宋体" w:cs="宋体"/>
                <w:b/>
                <w:bCs/>
                <w:color w:val="auto"/>
                <w:kern w:val="0"/>
                <w:sz w:val="24"/>
                <w:szCs w:val="24"/>
                <w:lang w:val="en-US" w:eastAsia="zh-CN" w:bidi="ar"/>
              </w:rPr>
              <w:t>备注</w:t>
            </w:r>
          </w:p>
        </w:tc>
      </w:tr>
      <w:tr w14:paraId="1A9D3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77E8A1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4"/>
                <w:szCs w:val="24"/>
                <w:vertAlign w:val="baseline"/>
                <w:lang w:val="en-US" w:eastAsia="zh-CN"/>
              </w:rPr>
            </w:pPr>
            <w:r>
              <w:rPr>
                <w:rStyle w:val="35"/>
                <w:rFonts w:hint="eastAsia" w:ascii="Times New Roman" w:hAnsi="Times New Roman" w:cs="Times New Roman"/>
                <w:color w:val="auto"/>
                <w:sz w:val="24"/>
                <w:lang w:val="en-US" w:eastAsia="zh-CN"/>
              </w:rPr>
              <w:t>废气</w:t>
            </w:r>
          </w:p>
        </w:tc>
        <w:tc>
          <w:tcPr>
            <w:tcW w:w="2873" w:type="dxa"/>
            <w:tcBorders>
              <w:tl2br w:val="nil"/>
              <w:tr2bl w:val="nil"/>
            </w:tcBorders>
            <w:vAlign w:val="center"/>
          </w:tcPr>
          <w:p w14:paraId="7C2EBF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color w:val="auto"/>
                <w:sz w:val="24"/>
                <w:szCs w:val="24"/>
                <w:vertAlign w:val="baseline"/>
                <w:lang w:val="en-US" w:eastAsia="zh-CN"/>
              </w:rPr>
            </w:pPr>
            <w:r>
              <w:rPr>
                <w:rFonts w:hint="eastAsia" w:ascii="Times New Roman" w:hAnsi="Times New Roman" w:cs="Times New Roman" w:eastAsiaTheme="minorEastAsia"/>
                <w:color w:val="auto"/>
                <w:sz w:val="24"/>
                <w:szCs w:val="24"/>
                <w:vertAlign w:val="baseline"/>
                <w:lang w:val="en-US" w:eastAsia="zh-CN"/>
              </w:rPr>
              <w:t>DA001</w:t>
            </w:r>
          </w:p>
          <w:p w14:paraId="644412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4"/>
                <w:szCs w:val="24"/>
                <w:vertAlign w:val="baseline"/>
                <w:lang w:val="en-US" w:eastAsia="zh-CN"/>
              </w:rPr>
            </w:pPr>
            <w:r>
              <w:rPr>
                <w:rFonts w:hint="eastAsia" w:ascii="Times New Roman" w:hAnsi="Times New Roman" w:cs="Times New Roman" w:eastAsiaTheme="minorEastAsia"/>
                <w:color w:val="auto"/>
                <w:sz w:val="24"/>
                <w:szCs w:val="24"/>
                <w:vertAlign w:val="baseline"/>
                <w:lang w:val="en-US" w:eastAsia="zh-CN"/>
              </w:rPr>
              <w:t>（颗粒物）</w:t>
            </w:r>
          </w:p>
        </w:tc>
        <w:tc>
          <w:tcPr>
            <w:tcW w:w="2171" w:type="dxa"/>
            <w:tcBorders>
              <w:tl2br w:val="nil"/>
              <w:tr2bl w:val="nil"/>
            </w:tcBorders>
            <w:vAlign w:val="center"/>
          </w:tcPr>
          <w:p w14:paraId="08E081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4"/>
                <w:szCs w:val="24"/>
                <w:vertAlign w:val="baseline"/>
                <w:lang w:val="en-US" w:eastAsia="zh-CN"/>
              </w:rPr>
            </w:pPr>
            <w:r>
              <w:rPr>
                <w:rFonts w:hint="eastAsia" w:ascii="Times New Roman" w:hAnsi="Times New Roman" w:cs="Times New Roman" w:eastAsiaTheme="minorEastAsia"/>
                <w:color w:val="auto"/>
                <w:sz w:val="24"/>
                <w:szCs w:val="24"/>
                <w:vertAlign w:val="baseline"/>
                <w:lang w:val="en-US" w:eastAsia="zh-CN"/>
              </w:rPr>
              <w:t>1次/年</w:t>
            </w:r>
          </w:p>
        </w:tc>
        <w:tc>
          <w:tcPr>
            <w:tcW w:w="2172" w:type="dxa"/>
            <w:tcBorders>
              <w:tl2br w:val="nil"/>
              <w:tr2bl w:val="nil"/>
            </w:tcBorders>
            <w:vAlign w:val="center"/>
          </w:tcPr>
          <w:p w14:paraId="7E7879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color w:val="auto"/>
                <w:sz w:val="24"/>
                <w:szCs w:val="24"/>
                <w:vertAlign w:val="baseline"/>
                <w:lang w:val="en-US" w:eastAsia="zh-CN"/>
              </w:rPr>
            </w:pPr>
            <w:r>
              <w:rPr>
                <w:rFonts w:hint="eastAsia" w:ascii="Times New Roman" w:hAnsi="Times New Roman" w:cs="Times New Roman" w:eastAsiaTheme="minorEastAsia"/>
                <w:color w:val="auto"/>
                <w:sz w:val="24"/>
                <w:szCs w:val="24"/>
                <w:vertAlign w:val="baseline"/>
                <w:lang w:val="en-US" w:eastAsia="zh-CN"/>
              </w:rPr>
              <w:t>委托检测</w:t>
            </w:r>
          </w:p>
        </w:tc>
      </w:tr>
      <w:tr w14:paraId="79D0F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2CDAA6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color w:val="auto"/>
                <w:sz w:val="24"/>
                <w:lang w:val="en-US" w:eastAsia="zh-CN"/>
              </w:rPr>
            </w:pPr>
            <w:r>
              <w:rPr>
                <w:rStyle w:val="35"/>
                <w:rFonts w:hint="eastAsia" w:ascii="Times New Roman" w:hAnsi="Times New Roman" w:cs="Times New Roman"/>
                <w:color w:val="auto"/>
                <w:sz w:val="24"/>
                <w:lang w:val="en-US" w:eastAsia="zh-CN"/>
              </w:rPr>
              <w:t>厂界</w:t>
            </w:r>
          </w:p>
        </w:tc>
        <w:tc>
          <w:tcPr>
            <w:tcW w:w="2873" w:type="dxa"/>
            <w:tcBorders>
              <w:tl2br w:val="nil"/>
              <w:tr2bl w:val="nil"/>
            </w:tcBorders>
            <w:vAlign w:val="center"/>
          </w:tcPr>
          <w:p w14:paraId="7FFE37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cs="Times New Roman"/>
                <w:color w:val="auto"/>
                <w:sz w:val="24"/>
                <w:lang w:val="en-US" w:eastAsia="zh-CN"/>
              </w:rPr>
            </w:pPr>
            <w:r>
              <w:rPr>
                <w:rStyle w:val="35"/>
                <w:rFonts w:hint="eastAsia" w:ascii="Times New Roman" w:hAnsi="Times New Roman" w:cs="Times New Roman"/>
                <w:color w:val="auto"/>
                <w:sz w:val="24"/>
                <w:lang w:val="en-US" w:eastAsia="zh-CN"/>
              </w:rPr>
              <w:t>颗粒物</w:t>
            </w:r>
          </w:p>
        </w:tc>
        <w:tc>
          <w:tcPr>
            <w:tcW w:w="2171" w:type="dxa"/>
            <w:tcBorders>
              <w:tl2br w:val="nil"/>
              <w:tr2bl w:val="nil"/>
            </w:tcBorders>
            <w:vAlign w:val="center"/>
          </w:tcPr>
          <w:p w14:paraId="6531F3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color w:val="auto"/>
                <w:sz w:val="24"/>
                <w:szCs w:val="24"/>
                <w:vertAlign w:val="baseline"/>
                <w:lang w:val="en-US" w:eastAsia="zh-CN"/>
              </w:rPr>
            </w:pPr>
            <w:r>
              <w:rPr>
                <w:rFonts w:hint="eastAsia" w:ascii="Times New Roman" w:hAnsi="Times New Roman" w:cs="Times New Roman" w:eastAsiaTheme="minorEastAsia"/>
                <w:color w:val="auto"/>
                <w:sz w:val="24"/>
                <w:szCs w:val="24"/>
                <w:vertAlign w:val="baseline"/>
                <w:lang w:val="en-US" w:eastAsia="zh-CN"/>
              </w:rPr>
              <w:t>1次/半年</w:t>
            </w:r>
          </w:p>
        </w:tc>
        <w:tc>
          <w:tcPr>
            <w:tcW w:w="2172" w:type="dxa"/>
            <w:tcBorders>
              <w:tl2br w:val="nil"/>
              <w:tr2bl w:val="nil"/>
            </w:tcBorders>
            <w:vAlign w:val="center"/>
          </w:tcPr>
          <w:p w14:paraId="6A23F2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color w:val="auto"/>
                <w:sz w:val="24"/>
                <w:szCs w:val="24"/>
                <w:vertAlign w:val="baseline"/>
                <w:lang w:val="en-US" w:eastAsia="zh-CN"/>
              </w:rPr>
            </w:pPr>
            <w:r>
              <w:rPr>
                <w:rFonts w:hint="eastAsia" w:ascii="Times New Roman" w:hAnsi="Times New Roman" w:cs="Times New Roman" w:eastAsiaTheme="minorEastAsia"/>
                <w:color w:val="auto"/>
                <w:sz w:val="24"/>
                <w:szCs w:val="24"/>
                <w:vertAlign w:val="baseline"/>
                <w:lang w:val="en-US" w:eastAsia="zh-CN"/>
              </w:rPr>
              <w:t>委托检测</w:t>
            </w:r>
          </w:p>
        </w:tc>
      </w:tr>
      <w:tr w14:paraId="5CB17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3E3CF8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color w:val="auto"/>
                <w:sz w:val="24"/>
                <w:lang w:val="en-US" w:eastAsia="zh-CN"/>
              </w:rPr>
            </w:pPr>
            <w:r>
              <w:rPr>
                <w:rStyle w:val="35"/>
                <w:rFonts w:hint="eastAsia" w:ascii="Times New Roman" w:hAnsi="Times New Roman" w:cs="Times New Roman"/>
                <w:color w:val="auto"/>
                <w:sz w:val="24"/>
                <w:lang w:val="en-US" w:eastAsia="zh-CN"/>
              </w:rPr>
              <w:t>厂界</w:t>
            </w:r>
          </w:p>
        </w:tc>
        <w:tc>
          <w:tcPr>
            <w:tcW w:w="2873" w:type="dxa"/>
            <w:tcBorders>
              <w:tl2br w:val="nil"/>
              <w:tr2bl w:val="nil"/>
            </w:tcBorders>
            <w:vAlign w:val="center"/>
          </w:tcPr>
          <w:p w14:paraId="49F619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color w:val="auto"/>
                <w:sz w:val="24"/>
                <w:lang w:val="en-US" w:eastAsia="zh-CN"/>
              </w:rPr>
            </w:pPr>
            <w:r>
              <w:rPr>
                <w:rStyle w:val="35"/>
                <w:rFonts w:hint="eastAsia" w:ascii="Times New Roman" w:hAnsi="Times New Roman" w:cs="Times New Roman"/>
                <w:color w:val="auto"/>
                <w:sz w:val="24"/>
                <w:lang w:val="en-US" w:eastAsia="zh-CN"/>
              </w:rPr>
              <w:t>噪声</w:t>
            </w:r>
            <w:r>
              <w:rPr>
                <w:rStyle w:val="35"/>
                <w:rFonts w:hint="default" w:ascii="Times New Roman" w:hAnsi="Times New Roman" w:eastAsia="宋体" w:cs="Times New Roman"/>
                <w:color w:val="auto"/>
                <w:sz w:val="24"/>
                <w:lang w:val="en-US" w:eastAsia="zh-CN"/>
              </w:rPr>
              <w:t>LeqdB</w:t>
            </w:r>
            <w:r>
              <w:rPr>
                <w:rStyle w:val="35"/>
                <w:rFonts w:hint="eastAsia" w:ascii="Times New Roman" w:hAnsi="Times New Roman" w:eastAsia="宋体" w:cs="Times New Roman"/>
                <w:color w:val="auto"/>
                <w:sz w:val="24"/>
                <w:lang w:val="en-US" w:eastAsia="zh-CN"/>
              </w:rPr>
              <w:t>（</w:t>
            </w:r>
            <w:r>
              <w:rPr>
                <w:rStyle w:val="35"/>
                <w:rFonts w:hint="default" w:ascii="Times New Roman" w:hAnsi="Times New Roman" w:eastAsia="宋体" w:cs="Times New Roman"/>
                <w:color w:val="auto"/>
                <w:sz w:val="24"/>
                <w:lang w:val="en-US" w:eastAsia="zh-CN"/>
              </w:rPr>
              <w:t>A</w:t>
            </w:r>
            <w:r>
              <w:rPr>
                <w:rStyle w:val="35"/>
                <w:rFonts w:hint="eastAsia" w:ascii="Times New Roman" w:hAnsi="Times New Roman" w:eastAsia="宋体" w:cs="Times New Roman"/>
                <w:color w:val="auto"/>
                <w:sz w:val="24"/>
                <w:lang w:val="en-US" w:eastAsia="zh-CN"/>
              </w:rPr>
              <w:t>）</w:t>
            </w:r>
          </w:p>
        </w:tc>
        <w:tc>
          <w:tcPr>
            <w:tcW w:w="2171" w:type="dxa"/>
            <w:tcBorders>
              <w:tl2br w:val="nil"/>
              <w:tr2bl w:val="nil"/>
            </w:tcBorders>
            <w:vAlign w:val="center"/>
          </w:tcPr>
          <w:p w14:paraId="1FF14C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color w:val="auto"/>
                <w:sz w:val="24"/>
                <w:szCs w:val="24"/>
                <w:vertAlign w:val="baseline"/>
                <w:lang w:val="en-US" w:eastAsia="zh-CN"/>
              </w:rPr>
            </w:pPr>
            <w:r>
              <w:rPr>
                <w:rStyle w:val="35"/>
                <w:rFonts w:hint="eastAsia" w:ascii="Times New Roman" w:hAnsi="Times New Roman" w:eastAsia="宋体" w:cs="Times New Roman"/>
                <w:color w:val="auto"/>
                <w:sz w:val="24"/>
                <w:lang w:val="en-US" w:eastAsia="zh-CN"/>
              </w:rPr>
              <w:t>1次/季，</w:t>
            </w:r>
            <w:r>
              <w:rPr>
                <w:rStyle w:val="35"/>
                <w:rFonts w:hint="default" w:ascii="Times New Roman" w:hAnsi="Times New Roman" w:eastAsia="宋体" w:cs="Times New Roman"/>
                <w:color w:val="auto"/>
                <w:sz w:val="24"/>
                <w:lang w:val="en-US" w:eastAsia="zh-CN"/>
              </w:rPr>
              <w:t>昼</w:t>
            </w:r>
            <w:r>
              <w:rPr>
                <w:rStyle w:val="35"/>
                <w:rFonts w:hint="eastAsia" w:ascii="Times New Roman" w:hAnsi="Times New Roman" w:eastAsia="宋体" w:cs="Times New Roman"/>
                <w:color w:val="auto"/>
                <w:sz w:val="24"/>
                <w:lang w:val="en-US" w:eastAsia="zh-CN"/>
              </w:rPr>
              <w:t>间</w:t>
            </w:r>
            <w:r>
              <w:rPr>
                <w:rStyle w:val="35"/>
                <w:rFonts w:hint="default" w:ascii="Times New Roman" w:hAnsi="Times New Roman" w:eastAsia="宋体" w:cs="Times New Roman"/>
                <w:color w:val="auto"/>
                <w:sz w:val="24"/>
                <w:lang w:val="en-US" w:eastAsia="zh-CN"/>
              </w:rPr>
              <w:t>监测</w:t>
            </w:r>
          </w:p>
        </w:tc>
        <w:tc>
          <w:tcPr>
            <w:tcW w:w="2172" w:type="dxa"/>
            <w:tcBorders>
              <w:tl2br w:val="nil"/>
              <w:tr2bl w:val="nil"/>
            </w:tcBorders>
            <w:vAlign w:val="center"/>
          </w:tcPr>
          <w:p w14:paraId="6D0A06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color w:val="auto"/>
                <w:sz w:val="24"/>
                <w:szCs w:val="24"/>
                <w:vertAlign w:val="baseline"/>
                <w:lang w:val="en-US" w:eastAsia="zh-CN"/>
              </w:rPr>
            </w:pPr>
            <w:r>
              <w:rPr>
                <w:rFonts w:hint="eastAsia" w:ascii="Times New Roman" w:hAnsi="Times New Roman" w:cs="Times New Roman" w:eastAsiaTheme="minorEastAsia"/>
                <w:color w:val="auto"/>
                <w:sz w:val="24"/>
                <w:szCs w:val="24"/>
                <w:vertAlign w:val="baseline"/>
                <w:lang w:val="en-US" w:eastAsia="zh-CN"/>
              </w:rPr>
              <w:t>委托检测</w:t>
            </w:r>
          </w:p>
        </w:tc>
      </w:tr>
    </w:tbl>
    <w:p w14:paraId="56F28EFE">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color w:val="auto"/>
          <w:sz w:val="28"/>
          <w:szCs w:val="28"/>
          <w:lang w:val="en-US" w:eastAsia="zh-CN"/>
        </w:rPr>
      </w:pPr>
      <w:r>
        <w:rPr>
          <w:rFonts w:hint="default" w:ascii="Times New Roman" w:hAnsi="Times New Roman" w:cs="Times New Roman" w:eastAsiaTheme="minorEastAsia"/>
          <w:b/>
          <w:color w:val="auto"/>
          <w:sz w:val="28"/>
          <w:szCs w:val="28"/>
          <w:lang w:val="en-US" w:eastAsia="zh-CN"/>
        </w:rPr>
        <w:t>2.2</w:t>
      </w:r>
      <w:r>
        <w:rPr>
          <w:rFonts w:hint="eastAsia" w:ascii="Times New Roman" w:hAnsi="Times New Roman" w:cs="Times New Roman" w:eastAsiaTheme="minorEastAsia"/>
          <w:b/>
          <w:color w:val="auto"/>
          <w:sz w:val="28"/>
          <w:szCs w:val="28"/>
          <w:lang w:val="en-US" w:eastAsia="zh-CN"/>
        </w:rPr>
        <w:t xml:space="preserve"> </w:t>
      </w:r>
      <w:r>
        <w:rPr>
          <w:rFonts w:hint="default" w:ascii="Times New Roman" w:hAnsi="Times New Roman" w:cs="Times New Roman" w:eastAsiaTheme="minorEastAsia"/>
          <w:b/>
          <w:color w:val="auto"/>
          <w:sz w:val="28"/>
          <w:szCs w:val="28"/>
          <w:lang w:val="en-US" w:eastAsia="zh-CN"/>
        </w:rPr>
        <w:t>配套措施落实情况</w:t>
      </w:r>
      <w:r>
        <w:rPr>
          <w:rFonts w:hint="eastAsia" w:ascii="Times New Roman" w:hAnsi="Times New Roman" w:cs="Times New Roman" w:eastAsiaTheme="minorEastAsia"/>
          <w:b/>
          <w:color w:val="auto"/>
          <w:sz w:val="28"/>
          <w:szCs w:val="28"/>
          <w:lang w:val="en-US" w:eastAsia="zh-CN"/>
        </w:rPr>
        <w:t xml:space="preserve"> </w:t>
      </w:r>
    </w:p>
    <w:p w14:paraId="3CA10B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（1）区域削减及淘汰落后产能</w:t>
      </w:r>
    </w:p>
    <w:p w14:paraId="730FAC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本公司不涉及区域削减污染物总量措施，所有生产设备中没有需淘汰的落后产能设备。</w:t>
      </w:r>
    </w:p>
    <w:p w14:paraId="2E4E0A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（2）防护距离控制及居民搬迁</w:t>
      </w:r>
    </w:p>
    <w:p w14:paraId="550367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本项目卫生防护距离内无环境敏感点。</w:t>
      </w:r>
    </w:p>
    <w:p w14:paraId="0D24E142">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color w:val="auto"/>
          <w:sz w:val="28"/>
          <w:szCs w:val="28"/>
          <w:lang w:val="en-US" w:eastAsia="zh-CN"/>
        </w:rPr>
      </w:pPr>
      <w:r>
        <w:rPr>
          <w:rFonts w:hint="eastAsia" w:ascii="Times New Roman" w:hAnsi="Times New Roman" w:cs="Times New Roman" w:eastAsiaTheme="minorEastAsia"/>
          <w:b/>
          <w:color w:val="auto"/>
          <w:sz w:val="28"/>
          <w:szCs w:val="28"/>
          <w:lang w:val="en-US" w:eastAsia="zh-CN"/>
        </w:rPr>
        <w:t xml:space="preserve">2.3 </w:t>
      </w:r>
      <w:r>
        <w:rPr>
          <w:rFonts w:hint="default" w:ascii="Times New Roman" w:hAnsi="Times New Roman" w:cs="Times New Roman" w:eastAsiaTheme="minorEastAsia"/>
          <w:b/>
          <w:color w:val="auto"/>
          <w:sz w:val="28"/>
          <w:szCs w:val="28"/>
          <w:lang w:val="en-US" w:eastAsia="zh-CN"/>
        </w:rPr>
        <w:t>其他措施落实情况</w:t>
      </w:r>
      <w:r>
        <w:rPr>
          <w:rFonts w:hint="eastAsia" w:ascii="Times New Roman" w:hAnsi="Times New Roman" w:cs="Times New Roman" w:eastAsiaTheme="minorEastAsia"/>
          <w:b/>
          <w:color w:val="auto"/>
          <w:sz w:val="28"/>
          <w:szCs w:val="28"/>
          <w:lang w:val="en-US" w:eastAsia="zh-CN"/>
        </w:rPr>
        <w:t xml:space="preserve"> </w:t>
      </w:r>
    </w:p>
    <w:p w14:paraId="1D5D70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本项目不涉及林地、珍稀动物保护、区域环境整治、相关外围工程建设情况等。</w:t>
      </w:r>
    </w:p>
    <w:p w14:paraId="3F02C6B0">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color w:val="auto"/>
          <w:sz w:val="28"/>
          <w:szCs w:val="28"/>
          <w:lang w:val="en-US" w:eastAsia="zh-CN"/>
        </w:rPr>
      </w:pPr>
      <w:r>
        <w:rPr>
          <w:rFonts w:hint="default" w:ascii="Times New Roman" w:hAnsi="Times New Roman" w:cs="Times New Roman" w:eastAsiaTheme="minorEastAsia"/>
          <w:b/>
          <w:color w:val="auto"/>
          <w:sz w:val="28"/>
          <w:szCs w:val="28"/>
          <w:lang w:val="en-US" w:eastAsia="zh-CN"/>
        </w:rPr>
        <w:t>3</w:t>
      </w:r>
      <w:r>
        <w:rPr>
          <w:rFonts w:hint="eastAsia" w:ascii="Times New Roman" w:hAnsi="Times New Roman" w:cs="Times New Roman" w:eastAsiaTheme="minorEastAsia"/>
          <w:b/>
          <w:color w:val="auto"/>
          <w:sz w:val="28"/>
          <w:szCs w:val="28"/>
          <w:lang w:val="en-US" w:eastAsia="zh-CN"/>
        </w:rPr>
        <w:t xml:space="preserve"> </w:t>
      </w:r>
      <w:r>
        <w:rPr>
          <w:rFonts w:hint="default" w:ascii="Times New Roman" w:hAnsi="Times New Roman" w:cs="Times New Roman" w:eastAsiaTheme="minorEastAsia"/>
          <w:b/>
          <w:color w:val="auto"/>
          <w:sz w:val="28"/>
          <w:szCs w:val="28"/>
          <w:lang w:val="en-US" w:eastAsia="zh-CN"/>
        </w:rPr>
        <w:t>整改工作情况</w:t>
      </w:r>
      <w:r>
        <w:rPr>
          <w:rFonts w:hint="eastAsia" w:ascii="Times New Roman" w:hAnsi="Times New Roman" w:cs="Times New Roman" w:eastAsiaTheme="minorEastAsia"/>
          <w:b/>
          <w:color w:val="auto"/>
          <w:sz w:val="28"/>
          <w:szCs w:val="28"/>
          <w:lang w:val="en-US" w:eastAsia="zh-CN"/>
        </w:rPr>
        <w:t xml:space="preserve"> </w:t>
      </w:r>
    </w:p>
    <w:p w14:paraId="4A856C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项目</w:t>
      </w:r>
      <w:r>
        <w:rPr>
          <w:rFonts w:hint="default" w:ascii="Times New Roman" w:hAnsi="Times New Roman" w:cs="Times New Roman" w:eastAsiaTheme="minorEastAsia"/>
          <w:color w:val="auto"/>
          <w:sz w:val="24"/>
          <w:szCs w:val="24"/>
          <w:lang w:val="en-US" w:eastAsia="zh-CN"/>
        </w:rPr>
        <w:t>验收现场检查会</w:t>
      </w:r>
      <w:r>
        <w:rPr>
          <w:rFonts w:hint="eastAsia" w:ascii="Times New Roman" w:hAnsi="Times New Roman" w:cs="Times New Roman" w:eastAsiaTheme="minorEastAsia"/>
          <w:color w:val="auto"/>
          <w:sz w:val="24"/>
          <w:szCs w:val="24"/>
          <w:lang w:val="en-US" w:eastAsia="zh-CN"/>
        </w:rPr>
        <w:t>专家提出的整改意见及整改措施如下：</w:t>
      </w:r>
    </w:p>
    <w:p w14:paraId="015C3C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（1）车间地面上撒漏的粉状物料应及时清理，保持车间地面清洁，防止扬尘。</w:t>
      </w:r>
    </w:p>
    <w:p w14:paraId="270238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color w:val="auto"/>
          <w:sz w:val="24"/>
          <w:szCs w:val="24"/>
          <w:u w:val="single"/>
          <w:lang w:val="en-US" w:eastAsia="zh-CN"/>
        </w:rPr>
      </w:pPr>
      <w:r>
        <w:rPr>
          <w:rFonts w:hint="eastAsia" w:ascii="Times New Roman" w:hAnsi="Times New Roman" w:cs="Times New Roman" w:eastAsiaTheme="minorEastAsia"/>
          <w:color w:val="auto"/>
          <w:sz w:val="24"/>
          <w:szCs w:val="24"/>
          <w:u w:val="single"/>
          <w:lang w:val="en-US" w:eastAsia="zh-CN"/>
        </w:rPr>
        <w:t>整改/修改情况：已安排车间专门人员及时清理车间地面上撒漏的粉状物料，保持车间地面清洁，防止扬尘。</w:t>
      </w:r>
    </w:p>
    <w:p w14:paraId="2B194F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（2）</w:t>
      </w:r>
      <w:r>
        <w:rPr>
          <w:rFonts w:hint="default" w:ascii="Times New Roman" w:hAnsi="Times New Roman" w:cs="Times New Roman" w:eastAsiaTheme="minorEastAsia"/>
          <w:color w:val="auto"/>
          <w:sz w:val="24"/>
          <w:szCs w:val="24"/>
          <w:lang w:val="en-US" w:eastAsia="zh-CN"/>
        </w:rPr>
        <w:t>定期检查废气收集设施的运行情况，确保废气有效收集和处理；</w:t>
      </w:r>
    </w:p>
    <w:p w14:paraId="5DCB07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color w:val="auto"/>
          <w:sz w:val="24"/>
          <w:szCs w:val="24"/>
          <w:u w:val="single"/>
          <w:lang w:val="en-US" w:eastAsia="zh-CN"/>
        </w:rPr>
      </w:pPr>
      <w:r>
        <w:rPr>
          <w:rFonts w:hint="eastAsia" w:ascii="Times New Roman" w:hAnsi="Times New Roman" w:cs="Times New Roman" w:eastAsiaTheme="minorEastAsia"/>
          <w:color w:val="auto"/>
          <w:sz w:val="24"/>
          <w:szCs w:val="24"/>
          <w:u w:val="single"/>
          <w:lang w:val="en-US" w:eastAsia="zh-CN"/>
        </w:rPr>
        <w:t>整改/修改情况：已安排车间专门人员</w:t>
      </w:r>
      <w:r>
        <w:rPr>
          <w:rFonts w:hint="default" w:ascii="Times New Roman" w:hAnsi="Times New Roman" w:cs="Times New Roman" w:eastAsiaTheme="minorEastAsia"/>
          <w:color w:val="auto"/>
          <w:sz w:val="24"/>
          <w:szCs w:val="24"/>
          <w:u w:val="single"/>
          <w:lang w:val="en-US" w:eastAsia="zh-CN"/>
        </w:rPr>
        <w:t>定期检查废气收集设施的运行情况，确保废气有效收集和处理</w:t>
      </w:r>
      <w:r>
        <w:rPr>
          <w:rFonts w:hint="eastAsia" w:ascii="Times New Roman" w:hAnsi="Times New Roman" w:cs="Times New Roman" w:eastAsiaTheme="minorEastAsia"/>
          <w:color w:val="auto"/>
          <w:sz w:val="24"/>
          <w:szCs w:val="24"/>
          <w:u w:val="single"/>
          <w:lang w:val="en-US" w:eastAsia="zh-CN"/>
        </w:rPr>
        <w:t>。</w:t>
      </w:r>
    </w:p>
    <w:p w14:paraId="081411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w:t>
      </w:r>
      <w:r>
        <w:rPr>
          <w:rFonts w:hint="eastAsia" w:ascii="Times New Roman" w:hAnsi="Times New Roman" w:eastAsia="宋体" w:cs="Times New Roman"/>
          <w:color w:val="auto"/>
          <w:sz w:val="24"/>
          <w:szCs w:val="24"/>
          <w:highlight w:val="none"/>
        </w:rPr>
        <w:t>一般固体废物</w:t>
      </w:r>
      <w:r>
        <w:rPr>
          <w:rFonts w:hint="eastAsia" w:ascii="Times New Roman" w:hAnsi="Times New Roman" w:eastAsia="宋体" w:cs="Times New Roman"/>
          <w:color w:val="auto"/>
          <w:kern w:val="2"/>
          <w:sz w:val="24"/>
          <w:szCs w:val="24"/>
          <w:lang w:val="en-US" w:eastAsia="zh-CN" w:bidi="ar-SA"/>
        </w:rPr>
        <w:t>严格按照</w:t>
      </w:r>
      <w:r>
        <w:rPr>
          <w:rFonts w:hint="eastAsia" w:ascii="Times New Roman" w:hAnsi="Times New Roman" w:eastAsia="宋体" w:cs="Times New Roman"/>
          <w:color w:val="auto"/>
          <w:sz w:val="24"/>
          <w:szCs w:val="24"/>
          <w:highlight w:val="none"/>
        </w:rPr>
        <w:t>《一般工业固体废物贮存和填埋污染控制标准》（GB</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18599-2020）相关要求</w:t>
      </w:r>
      <w:r>
        <w:rPr>
          <w:rFonts w:hint="eastAsia" w:ascii="Times New Roman" w:hAnsi="Times New Roman" w:cs="Times New Roman"/>
          <w:color w:val="auto"/>
          <w:sz w:val="24"/>
          <w:szCs w:val="24"/>
          <w:highlight w:val="none"/>
          <w:lang w:eastAsia="zh-CN"/>
        </w:rPr>
        <w:t>，</w:t>
      </w:r>
      <w:r>
        <w:rPr>
          <w:rFonts w:hint="eastAsia" w:ascii="Times New Roman" w:hAnsi="Times New Roman" w:eastAsia="宋体" w:cs="Times New Roman"/>
          <w:color w:val="auto"/>
          <w:kern w:val="2"/>
          <w:sz w:val="24"/>
          <w:szCs w:val="24"/>
          <w:lang w:val="en-US" w:eastAsia="zh-CN" w:bidi="ar-SA"/>
        </w:rPr>
        <w:t>危险废物严格按照《危险废物贮存污染控制标准》（GB 18597-2023）要求执行。</w:t>
      </w:r>
    </w:p>
    <w:p w14:paraId="3C7C4B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color w:val="auto"/>
          <w:sz w:val="24"/>
          <w:szCs w:val="24"/>
          <w:u w:val="single"/>
          <w:lang w:val="en-US" w:eastAsia="zh-CN"/>
        </w:rPr>
      </w:pPr>
      <w:r>
        <w:rPr>
          <w:rFonts w:hint="eastAsia" w:ascii="Times New Roman" w:hAnsi="Times New Roman" w:cs="Times New Roman" w:eastAsiaTheme="minorEastAsia"/>
          <w:color w:val="auto"/>
          <w:sz w:val="24"/>
          <w:szCs w:val="24"/>
          <w:u w:val="single"/>
          <w:lang w:val="en-US" w:eastAsia="zh-CN"/>
        </w:rPr>
        <w:t>项目运营过程中，严格执行排污许可排放标准，</w:t>
      </w:r>
      <w:r>
        <w:rPr>
          <w:rFonts w:hint="eastAsia" w:ascii="Times New Roman" w:hAnsi="Times New Roman" w:eastAsia="宋体" w:cs="Times New Roman"/>
          <w:color w:val="auto"/>
          <w:sz w:val="24"/>
          <w:szCs w:val="24"/>
          <w:highlight w:val="none"/>
          <w:u w:val="single"/>
        </w:rPr>
        <w:t>一般固体废物</w:t>
      </w:r>
      <w:r>
        <w:rPr>
          <w:rFonts w:hint="eastAsia" w:ascii="Times New Roman" w:hAnsi="Times New Roman" w:eastAsia="宋体" w:cs="Times New Roman"/>
          <w:color w:val="auto"/>
          <w:kern w:val="2"/>
          <w:sz w:val="24"/>
          <w:szCs w:val="24"/>
          <w:u w:val="single"/>
          <w:lang w:val="en-US" w:eastAsia="zh-CN" w:bidi="ar-SA"/>
        </w:rPr>
        <w:t>严格按照</w:t>
      </w:r>
      <w:r>
        <w:rPr>
          <w:rFonts w:hint="eastAsia" w:ascii="Times New Roman" w:hAnsi="Times New Roman" w:eastAsia="宋体" w:cs="Times New Roman"/>
          <w:color w:val="auto"/>
          <w:sz w:val="24"/>
          <w:szCs w:val="24"/>
          <w:highlight w:val="none"/>
          <w:u w:val="single"/>
        </w:rPr>
        <w:t>《一般工业固体废物贮存和填埋污染控制标准》（GB</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u w:val="single"/>
        </w:rPr>
        <w:t>18599-2020）相关要求</w:t>
      </w:r>
      <w:r>
        <w:rPr>
          <w:rFonts w:hint="eastAsia" w:ascii="Times New Roman" w:hAnsi="Times New Roman" w:cs="Times New Roman"/>
          <w:color w:val="auto"/>
          <w:sz w:val="24"/>
          <w:szCs w:val="24"/>
          <w:highlight w:val="none"/>
          <w:u w:val="single"/>
          <w:lang w:eastAsia="zh-CN"/>
        </w:rPr>
        <w:t>，</w:t>
      </w:r>
      <w:r>
        <w:rPr>
          <w:rFonts w:hint="eastAsia" w:ascii="Times New Roman" w:hAnsi="Times New Roman" w:cs="Times New Roman" w:eastAsiaTheme="minorEastAsia"/>
          <w:color w:val="auto"/>
          <w:sz w:val="24"/>
          <w:szCs w:val="24"/>
          <w:u w:val="single"/>
          <w:lang w:val="en-US" w:eastAsia="zh-CN"/>
        </w:rPr>
        <w:t>危险废物严格按照《危险废物贮存污染控制标准》（GB 18597-2023）要求执行。</w:t>
      </w:r>
    </w:p>
    <w:p w14:paraId="79298A4B">
      <w:pPr>
        <w:rPr>
          <w:rFonts w:hint="default"/>
          <w:color w:val="auto"/>
          <w:lang w:val="en-US" w:eastAsia="zh-CN"/>
        </w:rPr>
      </w:pPr>
    </w:p>
    <w:bookmarkEnd w:id="0"/>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54EA311A">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14:paraId="4A64FA6C">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2JkODAxZjFlOTg1MGE3OWM0OGFkMWI5NzMzYT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4E44794"/>
    <w:rsid w:val="053F0C01"/>
    <w:rsid w:val="066A3C96"/>
    <w:rsid w:val="06D25F48"/>
    <w:rsid w:val="07AD4745"/>
    <w:rsid w:val="08981135"/>
    <w:rsid w:val="08AC6127"/>
    <w:rsid w:val="0ADB5E7A"/>
    <w:rsid w:val="0B472137"/>
    <w:rsid w:val="0C8223EB"/>
    <w:rsid w:val="0D0001DD"/>
    <w:rsid w:val="0F1C1BCD"/>
    <w:rsid w:val="0FBA5B79"/>
    <w:rsid w:val="11625F1D"/>
    <w:rsid w:val="128A161A"/>
    <w:rsid w:val="12CD5618"/>
    <w:rsid w:val="13393A51"/>
    <w:rsid w:val="140B7F29"/>
    <w:rsid w:val="141B57BA"/>
    <w:rsid w:val="16154F53"/>
    <w:rsid w:val="16C15CF6"/>
    <w:rsid w:val="17B71A49"/>
    <w:rsid w:val="182F2017"/>
    <w:rsid w:val="19A12421"/>
    <w:rsid w:val="1A2A15A2"/>
    <w:rsid w:val="1AAE2376"/>
    <w:rsid w:val="1B1851B0"/>
    <w:rsid w:val="1C0D1583"/>
    <w:rsid w:val="1F7E33E3"/>
    <w:rsid w:val="20AD65B5"/>
    <w:rsid w:val="20C33720"/>
    <w:rsid w:val="20FF1092"/>
    <w:rsid w:val="218C6A2F"/>
    <w:rsid w:val="22B36145"/>
    <w:rsid w:val="24657C98"/>
    <w:rsid w:val="24C100AF"/>
    <w:rsid w:val="25651C9E"/>
    <w:rsid w:val="26150725"/>
    <w:rsid w:val="26F95E73"/>
    <w:rsid w:val="270B5883"/>
    <w:rsid w:val="288C09DE"/>
    <w:rsid w:val="28AC7E7F"/>
    <w:rsid w:val="2A743136"/>
    <w:rsid w:val="2ABB7EB6"/>
    <w:rsid w:val="2D7B1F11"/>
    <w:rsid w:val="2F1728B1"/>
    <w:rsid w:val="30674F5B"/>
    <w:rsid w:val="321E3342"/>
    <w:rsid w:val="332826CA"/>
    <w:rsid w:val="33B639D3"/>
    <w:rsid w:val="33BA52ED"/>
    <w:rsid w:val="33D415F5"/>
    <w:rsid w:val="352B1605"/>
    <w:rsid w:val="35475771"/>
    <w:rsid w:val="35BB246B"/>
    <w:rsid w:val="35F11C8A"/>
    <w:rsid w:val="39DE1D35"/>
    <w:rsid w:val="3BD50FCD"/>
    <w:rsid w:val="3CE753A4"/>
    <w:rsid w:val="3F8C2233"/>
    <w:rsid w:val="403A0C7C"/>
    <w:rsid w:val="42A64878"/>
    <w:rsid w:val="446F2B9F"/>
    <w:rsid w:val="44756DC2"/>
    <w:rsid w:val="44CD1674"/>
    <w:rsid w:val="452C453B"/>
    <w:rsid w:val="452E566D"/>
    <w:rsid w:val="478466B3"/>
    <w:rsid w:val="49D23072"/>
    <w:rsid w:val="4A0373E5"/>
    <w:rsid w:val="4D5558B4"/>
    <w:rsid w:val="4E751289"/>
    <w:rsid w:val="4EF37070"/>
    <w:rsid w:val="502328A6"/>
    <w:rsid w:val="50666188"/>
    <w:rsid w:val="518A07B0"/>
    <w:rsid w:val="52B018E5"/>
    <w:rsid w:val="536E48F6"/>
    <w:rsid w:val="53DD36D8"/>
    <w:rsid w:val="54E91C64"/>
    <w:rsid w:val="54EE0658"/>
    <w:rsid w:val="550429A6"/>
    <w:rsid w:val="562954F0"/>
    <w:rsid w:val="57F86847"/>
    <w:rsid w:val="59785D49"/>
    <w:rsid w:val="5A0C3D15"/>
    <w:rsid w:val="5B044F1C"/>
    <w:rsid w:val="5B5B47E1"/>
    <w:rsid w:val="5B6954ED"/>
    <w:rsid w:val="5C084E7C"/>
    <w:rsid w:val="5C763BF7"/>
    <w:rsid w:val="5EC253E6"/>
    <w:rsid w:val="5F9C768C"/>
    <w:rsid w:val="60A878DC"/>
    <w:rsid w:val="60B82B42"/>
    <w:rsid w:val="622F0313"/>
    <w:rsid w:val="62536A85"/>
    <w:rsid w:val="63AE1EC8"/>
    <w:rsid w:val="641B4FF7"/>
    <w:rsid w:val="649460BF"/>
    <w:rsid w:val="64E04972"/>
    <w:rsid w:val="68D4001D"/>
    <w:rsid w:val="695305DA"/>
    <w:rsid w:val="69807E63"/>
    <w:rsid w:val="6A4662AD"/>
    <w:rsid w:val="6A7038C2"/>
    <w:rsid w:val="6AAE1741"/>
    <w:rsid w:val="6C9227DE"/>
    <w:rsid w:val="6F5F79E8"/>
    <w:rsid w:val="70904E30"/>
    <w:rsid w:val="71BE777B"/>
    <w:rsid w:val="722A44D1"/>
    <w:rsid w:val="72D92E7B"/>
    <w:rsid w:val="75926377"/>
    <w:rsid w:val="7696248B"/>
    <w:rsid w:val="76A35191"/>
    <w:rsid w:val="76DD7878"/>
    <w:rsid w:val="76DE59F5"/>
    <w:rsid w:val="784B6084"/>
    <w:rsid w:val="78B611AB"/>
    <w:rsid w:val="78F835F0"/>
    <w:rsid w:val="79425628"/>
    <w:rsid w:val="7A525C08"/>
    <w:rsid w:val="7A7F09A7"/>
    <w:rsid w:val="7ACF34CF"/>
    <w:rsid w:val="7B910714"/>
    <w:rsid w:val="7C2D2E8E"/>
    <w:rsid w:val="7CC72557"/>
    <w:rsid w:val="7D422132"/>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5">
    <w:name w:val="heading 2"/>
    <w:basedOn w:val="1"/>
    <w:next w:val="1"/>
    <w:autoRedefine/>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autoRedefine/>
    <w:qFormat/>
    <w:uiPriority w:val="0"/>
    <w:rPr>
      <w:rFonts w:ascii="宋体" w:hAnsi="Courier New"/>
    </w:rPr>
  </w:style>
  <w:style w:type="paragraph" w:styleId="6">
    <w:name w:val="annotation text"/>
    <w:basedOn w:val="1"/>
    <w:link w:val="30"/>
    <w:autoRedefine/>
    <w:qFormat/>
    <w:uiPriority w:val="0"/>
    <w:pPr>
      <w:jc w:val="left"/>
    </w:pPr>
    <w:rPr>
      <w:rFonts w:ascii="Times New Roman" w:hAnsi="Times New Roman"/>
      <w:szCs w:val="20"/>
    </w:rPr>
  </w:style>
  <w:style w:type="paragraph" w:styleId="7">
    <w:name w:val="Body Text"/>
    <w:basedOn w:val="1"/>
    <w:link w:val="28"/>
    <w:qFormat/>
    <w:uiPriority w:val="0"/>
    <w:pPr>
      <w:spacing w:after="120"/>
    </w:pPr>
    <w:rPr>
      <w:rFonts w:ascii="Times New Roman" w:hAnsi="Times New Roman"/>
      <w:szCs w:val="20"/>
    </w:rPr>
  </w:style>
  <w:style w:type="paragraph" w:styleId="8">
    <w:name w:val="Body Text Indent"/>
    <w:basedOn w:val="1"/>
    <w:next w:val="9"/>
    <w:autoRedefine/>
    <w:unhideWhenUsed/>
    <w:qFormat/>
    <w:uiPriority w:val="99"/>
    <w:pPr>
      <w:ind w:left="420" w:leftChars="200"/>
    </w:pPr>
  </w:style>
  <w:style w:type="paragraph" w:customStyle="1" w:styleId="9">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10">
    <w:name w:val="Plain Text"/>
    <w:basedOn w:val="1"/>
    <w:next w:val="8"/>
    <w:autoRedefine/>
    <w:qFormat/>
    <w:uiPriority w:val="0"/>
    <w:rPr>
      <w:rFonts w:ascii="宋体" w:hAnsi="Courier New" w:cs="Courier New"/>
      <w:szCs w:val="21"/>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3"/>
    <w:autoRedefine/>
    <w:unhideWhenUsed/>
    <w:qFormat/>
    <w:uiPriority w:val="99"/>
    <w:pPr>
      <w:tabs>
        <w:tab w:val="center" w:pos="4153"/>
        <w:tab w:val="right" w:pos="8306"/>
      </w:tabs>
      <w:snapToGrid w:val="0"/>
      <w:jc w:val="left"/>
    </w:pPr>
    <w:rPr>
      <w:sz w:val="18"/>
      <w:szCs w:val="18"/>
    </w:rPr>
  </w:style>
  <w:style w:type="paragraph" w:styleId="13">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spacing w:after="120"/>
      <w:ind w:left="420" w:leftChars="200"/>
    </w:pPr>
    <w:rPr>
      <w:sz w:val="16"/>
      <w:szCs w:val="16"/>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2"/>
    <w:basedOn w:val="8"/>
    <w:next w:val="1"/>
    <w:autoRedefine/>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autoRedefine/>
    <w:qFormat/>
    <w:uiPriority w:val="0"/>
    <w:rPr>
      <w:sz w:val="21"/>
      <w:szCs w:val="21"/>
    </w:rPr>
  </w:style>
  <w:style w:type="paragraph" w:customStyle="1" w:styleId="21">
    <w:name w:val="li_正文"/>
    <w:basedOn w:val="1"/>
    <w:autoRedefine/>
    <w:qFormat/>
    <w:uiPriority w:val="0"/>
    <w:pPr>
      <w:ind w:firstLine="200" w:firstLineChars="200"/>
      <w:jc w:val="left"/>
    </w:pPr>
    <w:rPr>
      <w:sz w:val="28"/>
      <w:szCs w:val="28"/>
    </w:rPr>
  </w:style>
  <w:style w:type="character" w:customStyle="1" w:styleId="22">
    <w:name w:val="页眉 Char"/>
    <w:basedOn w:val="19"/>
    <w:link w:val="13"/>
    <w:autoRedefine/>
    <w:qFormat/>
    <w:uiPriority w:val="99"/>
    <w:rPr>
      <w:sz w:val="18"/>
      <w:szCs w:val="18"/>
    </w:rPr>
  </w:style>
  <w:style w:type="character" w:customStyle="1" w:styleId="23">
    <w:name w:val="页脚 Char"/>
    <w:basedOn w:val="19"/>
    <w:link w:val="12"/>
    <w:autoRedefine/>
    <w:qFormat/>
    <w:uiPriority w:val="99"/>
    <w:rPr>
      <w:sz w:val="18"/>
      <w:szCs w:val="18"/>
    </w:rPr>
  </w:style>
  <w:style w:type="character" w:customStyle="1" w:styleId="24">
    <w:name w:val="批注框文本 Char"/>
    <w:basedOn w:val="19"/>
    <w:link w:val="11"/>
    <w:autoRedefine/>
    <w:semiHidden/>
    <w:qFormat/>
    <w:uiPriority w:val="99"/>
    <w:rPr>
      <w:rFonts w:ascii="Calibri" w:hAnsi="Calibri" w:eastAsia="宋体" w:cs="Times New Roman"/>
      <w:kern w:val="2"/>
      <w:sz w:val="18"/>
      <w:szCs w:val="18"/>
    </w:rPr>
  </w:style>
  <w:style w:type="paragraph" w:customStyle="1" w:styleId="25">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6">
    <w:name w:val="List Paragraph"/>
    <w:basedOn w:val="1"/>
    <w:autoRedefine/>
    <w:unhideWhenUsed/>
    <w:qFormat/>
    <w:uiPriority w:val="99"/>
    <w:pPr>
      <w:ind w:firstLine="420" w:firstLineChars="200"/>
    </w:pPr>
  </w:style>
  <w:style w:type="paragraph" w:customStyle="1" w:styleId="27">
    <w:name w:val="正1"/>
    <w:basedOn w:val="1"/>
    <w:link w:val="32"/>
    <w:autoRedefine/>
    <w:qFormat/>
    <w:uiPriority w:val="0"/>
    <w:pPr>
      <w:spacing w:line="360" w:lineRule="auto"/>
      <w:ind w:firstLine="200" w:firstLineChars="200"/>
      <w:jc w:val="left"/>
    </w:pPr>
    <w:rPr>
      <w:rFonts w:eastAsia="楷体_GB2312"/>
      <w:sz w:val="24"/>
    </w:rPr>
  </w:style>
  <w:style w:type="character" w:customStyle="1" w:styleId="28">
    <w:name w:val="正文文本 Char"/>
    <w:basedOn w:val="19"/>
    <w:link w:val="7"/>
    <w:autoRedefine/>
    <w:qFormat/>
    <w:uiPriority w:val="0"/>
    <w:rPr>
      <w:kern w:val="2"/>
      <w:sz w:val="21"/>
    </w:rPr>
  </w:style>
  <w:style w:type="paragraph" w:customStyle="1" w:styleId="29">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30">
    <w:name w:val="批注文字 Char"/>
    <w:basedOn w:val="19"/>
    <w:link w:val="6"/>
    <w:autoRedefine/>
    <w:qFormat/>
    <w:uiPriority w:val="0"/>
    <w:rPr>
      <w:kern w:val="2"/>
      <w:sz w:val="21"/>
    </w:rPr>
  </w:style>
  <w:style w:type="paragraph" w:customStyle="1" w:styleId="31">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2">
    <w:name w:val="正1 Char"/>
    <w:link w:val="27"/>
    <w:autoRedefine/>
    <w:qFormat/>
    <w:uiPriority w:val="0"/>
    <w:rPr>
      <w:rFonts w:ascii="Calibri" w:hAnsi="Calibri" w:eastAsia="楷体_GB2312"/>
      <w:kern w:val="2"/>
      <w:sz w:val="24"/>
      <w:szCs w:val="24"/>
    </w:rPr>
  </w:style>
  <w:style w:type="paragraph" w:customStyle="1" w:styleId="33">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4">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5">
    <w:name w:val="NormalCharacter"/>
    <w:autoRedefine/>
    <w:semiHidden/>
    <w:qFormat/>
    <w:uiPriority w:val="0"/>
  </w:style>
  <w:style w:type="paragraph" w:customStyle="1" w:styleId="36">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37">
    <w:name w:val="样式1"/>
    <w:basedOn w:val="1"/>
    <w:autoRedefine/>
    <w:qFormat/>
    <w:uiPriority w:val="0"/>
    <w:pPr>
      <w:adjustRightInd/>
      <w:snapToGrid/>
      <w:spacing w:after="0" w:line="360" w:lineRule="auto"/>
      <w:jc w:val="center"/>
    </w:pPr>
    <w:rPr>
      <w:rFonts w:ascii="仿宋_GB2312" w:hAnsi="Times New Roman" w:eastAsia="黑体" w:cs="Times New Roman"/>
      <w:b/>
      <w:kern w:val="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2904</Words>
  <Characters>3056</Characters>
  <Lines>18</Lines>
  <Paragraphs>5</Paragraphs>
  <TotalTime>4</TotalTime>
  <ScaleCrop>false</ScaleCrop>
  <LinksUpToDate>false</LinksUpToDate>
  <CharactersWithSpaces>3083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WPS_1505978130</cp:lastModifiedBy>
  <cp:lastPrinted>2019-02-26T02:51:00Z</cp:lastPrinted>
  <dcterms:modified xsi:type="dcterms:W3CDTF">2025-07-10T07:05:31Z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B5D4649270104DA4A48C49EA965BAB23_13</vt:lpwstr>
  </property>
  <property fmtid="{D5CDD505-2E9C-101B-9397-08002B2CF9AE}" pid="4" name="KSOTemplateDocerSaveRecord">
    <vt:lpwstr>eyJoZGlkIjoiMTM4MDFiNzJhMWNmZTJlMzM5MmQ4M2Q2YzYyYWY3NTUiLCJ1c2VySWQiOiIzMDU0OTU4NzAifQ==</vt:lpwstr>
  </property>
</Properties>
</file>