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572C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山东华统面业有限公司面粉生产线提升改造项目</w:t>
      </w:r>
    </w:p>
    <w:p w14:paraId="303449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14:paraId="7C3E06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highlight w:val="none"/>
        </w:rPr>
        <w:t>20</w:t>
      </w:r>
      <w:r>
        <w:rPr>
          <w:rFonts w:hint="eastAsia" w:ascii="Times New Roman" w:hAnsi="Times New Roman" w:cs="Times New Roman" w:eastAsiaTheme="minorEastAsia"/>
          <w:sz w:val="24"/>
          <w:szCs w:val="24"/>
          <w:highlight w:val="none"/>
          <w:lang w:val="en-US" w:eastAsia="zh-CN"/>
        </w:rPr>
        <w:t>24</w:t>
      </w:r>
      <w:r>
        <w:rPr>
          <w:rFonts w:hint="default" w:ascii="Times New Roman" w:hAnsi="Times New Roman" w:cs="Times New Roman" w:eastAsiaTheme="minorEastAsia"/>
          <w:sz w:val="24"/>
          <w:szCs w:val="24"/>
          <w:highlight w:val="none"/>
        </w:rPr>
        <w:t>年</w:t>
      </w:r>
      <w:r>
        <w:rPr>
          <w:rFonts w:hint="eastAsia" w:ascii="Times New Roman" w:hAnsi="Times New Roman" w:cs="Times New Roman" w:eastAsiaTheme="minorEastAsia"/>
          <w:sz w:val="24"/>
          <w:szCs w:val="24"/>
          <w:highlight w:val="none"/>
          <w:lang w:val="en-US" w:eastAsia="zh-CN"/>
        </w:rPr>
        <w:t>11</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eastAsiaTheme="minorEastAsia"/>
          <w:sz w:val="24"/>
          <w:szCs w:val="24"/>
          <w:highlight w:val="none"/>
          <w:lang w:val="en-US" w:eastAsia="zh-CN"/>
        </w:rPr>
        <w:t>10</w:t>
      </w:r>
      <w:r>
        <w:rPr>
          <w:rFonts w:hint="default" w:ascii="Times New Roman" w:hAnsi="Times New Roman" w:cs="Times New Roman" w:eastAsiaTheme="minorEastAsia"/>
          <w:sz w:val="24"/>
          <w:szCs w:val="24"/>
          <w:highlight w:val="none"/>
        </w:rPr>
        <w:t>日</w:t>
      </w:r>
      <w:r>
        <w:rPr>
          <w:rFonts w:hint="default" w:ascii="Times New Roman" w:hAnsi="Times New Roman" w:cs="Times New Roman" w:eastAsiaTheme="minorEastAsia"/>
          <w:sz w:val="24"/>
          <w:szCs w:val="24"/>
        </w:rPr>
        <w:t>，</w:t>
      </w:r>
      <w:r>
        <w:rPr>
          <w:rFonts w:hint="eastAsia" w:ascii="Times New Roman" w:hAnsi="Times New Roman"/>
          <w:color w:val="auto"/>
          <w:sz w:val="24"/>
          <w:szCs w:val="24"/>
          <w:lang w:eastAsia="zh-CN"/>
        </w:rPr>
        <w:t>山东华统面业有限公司</w:t>
      </w:r>
      <w:r>
        <w:rPr>
          <w:rFonts w:hint="default" w:ascii="Times New Roman" w:hAnsi="Times New Roman" w:cs="Times New Roman" w:eastAsiaTheme="minorEastAsia"/>
          <w:sz w:val="24"/>
          <w:szCs w:val="24"/>
        </w:rPr>
        <w:t>组织召开了</w:t>
      </w:r>
      <w:r>
        <w:rPr>
          <w:rFonts w:hint="eastAsia" w:ascii="Times New Roman" w:hAnsi="Times New Roman" w:cs="Times New Roman"/>
          <w:color w:val="auto"/>
          <w:sz w:val="24"/>
          <w:szCs w:val="24"/>
          <w:highlight w:val="none"/>
          <w:lang w:val="en-US" w:eastAsia="zh-CN"/>
        </w:rPr>
        <w:t>山东华统面业有限公司面粉生产线提升改造项目</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olor w:val="auto"/>
          <w:sz w:val="24"/>
          <w:szCs w:val="24"/>
          <w:lang w:eastAsia="zh-CN"/>
        </w:rPr>
        <w:t>山东华统面业有限公司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2C8545C5">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3D8A2E15">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3F38D526">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山东华统面业有限公司，成立于</w:t>
      </w:r>
      <w:r>
        <w:rPr>
          <w:rFonts w:hint="eastAsia" w:ascii="Times New Roman" w:hAnsi="Times New Roman" w:cs="Times New Roman"/>
          <w:color w:val="auto"/>
          <w:sz w:val="24"/>
          <w:szCs w:val="24"/>
          <w:highlight w:val="none"/>
          <w:lang w:val="en-US" w:eastAsia="zh-CN"/>
        </w:rPr>
        <w:t>2008</w:t>
      </w:r>
      <w:r>
        <w:rPr>
          <w:rFonts w:hint="eastAsia" w:ascii="Times New Roman" w:hAnsi="Times New Roman" w:eastAsia="宋体" w:cs="Times New Roman"/>
          <w:color w:val="auto"/>
          <w:sz w:val="24"/>
          <w:szCs w:val="24"/>
          <w:highlight w:val="none"/>
          <w:lang w:val="en-US" w:eastAsia="zh-CN"/>
        </w:rPr>
        <w:t>年，位于山东省聊城市，是一家以从事食品制造业为主的企业。经营范围包括农产品的生产、销售、加工、运输、贮藏及其他相关服务；初级农产品收购；食用农产品初加工；食用农产品批发；食用农产品零售等。山东华统面业有限公司现有工程包括《年产6万吨小麦面粉项目》和《小麦面粉加工扩建项目》。2012年3月，建设单位委托聊城大学编制《年产</w:t>
      </w:r>
      <w:r>
        <w:rPr>
          <w:rFonts w:hint="eastAsia" w:ascii="Times New Roman" w:hAnsi="Times New Roman" w:cs="Times New Roman"/>
          <w:color w:val="auto"/>
          <w:sz w:val="24"/>
          <w:szCs w:val="24"/>
          <w:highlight w:val="none"/>
          <w:lang w:val="en-US" w:eastAsia="zh-CN"/>
        </w:rPr>
        <w:t>6万</w:t>
      </w:r>
      <w:r>
        <w:rPr>
          <w:rFonts w:hint="eastAsia" w:ascii="Times New Roman" w:hAnsi="Times New Roman" w:eastAsia="宋体" w:cs="Times New Roman"/>
          <w:color w:val="auto"/>
          <w:sz w:val="24"/>
          <w:szCs w:val="24"/>
          <w:highlight w:val="none"/>
          <w:lang w:val="en-US" w:eastAsia="zh-CN"/>
        </w:rPr>
        <w:t>吨小麦面粉项目环境影响报告表》，批复文号为茌环管〔2012〕49号，2015年8月16日通过了茌平县环境保护局验收（茌环验〔</w:t>
      </w:r>
      <w:r>
        <w:rPr>
          <w:rFonts w:hint="eastAsia" w:ascii="Times New Roman" w:hAnsi="Times New Roman" w:cs="Times New Roman"/>
          <w:color w:val="auto"/>
          <w:sz w:val="24"/>
          <w:szCs w:val="24"/>
          <w:highlight w:val="none"/>
          <w:lang w:val="en-US" w:eastAsia="zh-CN"/>
        </w:rPr>
        <w:t>2015</w:t>
      </w:r>
      <w:r>
        <w:rPr>
          <w:rFonts w:hint="eastAsia" w:ascii="Times New Roman" w:hAnsi="Times New Roman" w:eastAsia="宋体" w:cs="Times New Roman"/>
          <w:color w:val="auto"/>
          <w:sz w:val="24"/>
          <w:szCs w:val="24"/>
          <w:highlight w:val="none"/>
          <w:lang w:val="en-US" w:eastAsia="zh-CN"/>
        </w:rPr>
        <w:t>〕13号）。2017年7月，建设单位委托聊城大学编制《小麦面粉加工扩建项目环境影响报告表》，2017年9月4日取得了茌平县环境保护局出具的审批文件（茌环管〔2024〕</w:t>
      </w:r>
      <w:r>
        <w:rPr>
          <w:rFonts w:hint="eastAsia" w:ascii="Times New Roman" w:hAnsi="Times New Roman" w:cs="Times New Roman"/>
          <w:color w:val="auto"/>
          <w:sz w:val="24"/>
          <w:szCs w:val="24"/>
          <w:highlight w:val="none"/>
          <w:lang w:val="en-US" w:eastAsia="zh-CN"/>
        </w:rPr>
        <w:t>44</w:t>
      </w:r>
      <w:r>
        <w:rPr>
          <w:rFonts w:hint="eastAsia" w:ascii="Times New Roman" w:hAnsi="Times New Roman" w:eastAsia="宋体" w:cs="Times New Roman"/>
          <w:color w:val="auto"/>
          <w:sz w:val="24"/>
          <w:szCs w:val="24"/>
          <w:highlight w:val="none"/>
          <w:lang w:val="en-US" w:eastAsia="zh-CN"/>
        </w:rPr>
        <w:t>号）；2018年3月建设单位进行自主竣工环境保护验收工作。为了顺应市场需求、提质增效、节能减排</w:t>
      </w:r>
      <w:r>
        <w:rPr>
          <w:rFonts w:hint="eastAsia" w:ascii="Times New Roman" w:hAnsi="Times New Roman" w:cs="Times New Roman"/>
          <w:color w:val="auto"/>
          <w:sz w:val="24"/>
          <w:szCs w:val="24"/>
          <w:highlight w:val="none"/>
          <w:lang w:val="en-US" w:eastAsia="zh-CN"/>
        </w:rPr>
        <w:t>等</w:t>
      </w:r>
      <w:r>
        <w:rPr>
          <w:rFonts w:hint="eastAsia" w:ascii="Times New Roman" w:hAnsi="Times New Roman" w:eastAsia="宋体" w:cs="Times New Roman"/>
          <w:color w:val="auto"/>
          <w:sz w:val="24"/>
          <w:szCs w:val="24"/>
          <w:highlight w:val="none"/>
          <w:lang w:val="en-US" w:eastAsia="zh-CN"/>
        </w:rPr>
        <w:t>，山东华统面业有限公司</w:t>
      </w:r>
      <w:r>
        <w:rPr>
          <w:rFonts w:hint="eastAsia" w:ascii="Times New Roman" w:hAnsi="Times New Roman" w:cs="Times New Roman"/>
          <w:color w:val="auto"/>
          <w:sz w:val="24"/>
          <w:szCs w:val="24"/>
          <w:highlight w:val="none"/>
          <w:lang w:val="en-US" w:eastAsia="zh-CN"/>
        </w:rPr>
        <w:t>决定</w:t>
      </w:r>
      <w:r>
        <w:rPr>
          <w:rFonts w:hint="eastAsia" w:ascii="Times New Roman" w:hAnsi="Times New Roman" w:eastAsia="宋体" w:cs="Times New Roman"/>
          <w:color w:val="auto"/>
          <w:sz w:val="24"/>
          <w:szCs w:val="24"/>
          <w:highlight w:val="none"/>
          <w:lang w:val="en-US" w:eastAsia="zh-CN"/>
        </w:rPr>
        <w:t>建设生产线提升改造项目。项目建成后，达到年产21万吨小麦面粉的</w:t>
      </w:r>
      <w:r>
        <w:rPr>
          <w:rFonts w:hint="eastAsia" w:ascii="Times New Roman" w:hAnsi="Times New Roman" w:cs="Times New Roman"/>
          <w:color w:val="auto"/>
          <w:sz w:val="24"/>
          <w:szCs w:val="24"/>
          <w:highlight w:val="none"/>
          <w:lang w:val="en-US" w:eastAsia="zh-CN"/>
        </w:rPr>
        <w:t>生产能力，</w:t>
      </w:r>
      <w:r>
        <w:rPr>
          <w:rFonts w:hint="eastAsia" w:ascii="Times New Roman" w:hAnsi="Times New Roman" w:eastAsia="宋体" w:cs="Times New Roman"/>
          <w:color w:val="auto"/>
          <w:sz w:val="24"/>
          <w:szCs w:val="24"/>
          <w:highlight w:val="none"/>
          <w:lang w:val="en-US" w:eastAsia="zh-CN"/>
        </w:rPr>
        <w:t>达到</w:t>
      </w:r>
      <w:r>
        <w:rPr>
          <w:rFonts w:hint="default" w:ascii="Times New Roman" w:hAnsi="Times New Roman" w:eastAsia="宋体" w:cs="Times New Roman"/>
          <w:color w:val="auto"/>
          <w:sz w:val="24"/>
          <w:szCs w:val="24"/>
          <w:highlight w:val="none"/>
          <w:lang w:val="en-US" w:eastAsia="zh-CN"/>
        </w:rPr>
        <w:t>21</w:t>
      </w:r>
      <w:r>
        <w:rPr>
          <w:rFonts w:hint="eastAsia" w:ascii="Times New Roman" w:hAnsi="Times New Roman" w:eastAsia="宋体" w:cs="Times New Roman"/>
          <w:color w:val="auto"/>
          <w:sz w:val="24"/>
          <w:szCs w:val="24"/>
          <w:highlight w:val="none"/>
          <w:lang w:val="en-US" w:eastAsia="zh-CN"/>
        </w:rPr>
        <w:t>万吨</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年面粉自动包装及</w:t>
      </w:r>
      <w:r>
        <w:rPr>
          <w:rFonts w:hint="default" w:ascii="Times New Roman" w:hAnsi="Times New Roman" w:eastAsia="宋体" w:cs="Times New Roman"/>
          <w:color w:val="auto"/>
          <w:sz w:val="24"/>
          <w:szCs w:val="24"/>
          <w:highlight w:val="none"/>
          <w:lang w:val="en-US" w:eastAsia="zh-CN"/>
        </w:rPr>
        <w:t>3600</w:t>
      </w:r>
      <w:r>
        <w:rPr>
          <w:rFonts w:hint="eastAsia" w:ascii="Times New Roman" w:hAnsi="Times New Roman" w:eastAsia="宋体" w:cs="Times New Roman"/>
          <w:color w:val="auto"/>
          <w:sz w:val="24"/>
          <w:szCs w:val="24"/>
          <w:highlight w:val="none"/>
          <w:lang w:val="en-US" w:eastAsia="zh-CN"/>
        </w:rPr>
        <w:t>吨面粉储备的能力。</w:t>
      </w:r>
    </w:p>
    <w:p w14:paraId="506855A0">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51FAB679">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山东华统面业有限公司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山东锦航环保科技有限公司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山东华统面业有限公司面粉生产线提升改造项目</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10</w:t>
      </w:r>
      <w:r>
        <w:rPr>
          <w:rFonts w:ascii="Times New Roman" w:hAnsi="Times New Roman" w:eastAsia="宋体"/>
          <w:color w:val="auto"/>
          <w:sz w:val="24"/>
          <w:szCs w:val="24"/>
          <w:highlight w:val="none"/>
        </w:rPr>
        <w:t>日</w:t>
      </w:r>
      <w:r>
        <w:rPr>
          <w:rFonts w:hint="eastAsia" w:ascii="Times New Roman" w:hAnsi="Times New Roman" w:eastAsia="宋体"/>
          <w:color w:val="auto"/>
          <w:sz w:val="24"/>
          <w:szCs w:val="24"/>
          <w:highlight w:val="none"/>
          <w:lang w:eastAsia="zh-CN"/>
        </w:rPr>
        <w:t>聊城市茌平区行政审批服务局</w:t>
      </w:r>
      <w:r>
        <w:rPr>
          <w:rFonts w:ascii="Times New Roman" w:hAnsi="Times New Roman" w:eastAsia="宋体"/>
          <w:color w:val="auto"/>
          <w:sz w:val="24"/>
          <w:szCs w:val="24"/>
          <w:highlight w:val="none"/>
        </w:rPr>
        <w:t>以</w:t>
      </w:r>
      <w:r>
        <w:rPr>
          <w:rFonts w:hint="eastAsia" w:ascii="Times New Roman" w:hAnsi="Times New Roman" w:eastAsia="宋体"/>
          <w:color w:val="auto"/>
          <w:sz w:val="24"/>
          <w:szCs w:val="24"/>
          <w:highlight w:val="none"/>
          <w:lang w:eastAsia="zh-CN"/>
        </w:rPr>
        <w:t>聊茌行审环管〔</w:t>
      </w:r>
      <w:r>
        <w:rPr>
          <w:rFonts w:hint="eastAsia" w:ascii="Times New Roman" w:hAnsi="Times New Roman"/>
          <w:color w:val="auto"/>
          <w:sz w:val="24"/>
          <w:szCs w:val="24"/>
          <w:highlight w:val="none"/>
          <w:lang w:val="en-US" w:eastAsia="zh-CN"/>
        </w:rPr>
        <w:t>2024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44</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4CF5B684">
      <w:pPr>
        <w:widowControl w:val="0"/>
        <w:spacing w:line="360" w:lineRule="auto"/>
        <w:ind w:firstLine="480" w:firstLineChars="200"/>
        <w:jc w:val="left"/>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2024年10月，</w:t>
      </w:r>
      <w:r>
        <w:rPr>
          <w:rFonts w:hint="eastAsia" w:ascii="Times New Roman" w:hAnsi="Times New Roman" w:eastAsia="宋体" w:cs="Times New Roman"/>
          <w:color w:val="auto"/>
          <w:sz w:val="24"/>
          <w:szCs w:val="24"/>
          <w:highlight w:val="none"/>
          <w:lang w:eastAsia="zh-CN"/>
        </w:rPr>
        <w:t>山东华统面业有限公司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10</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09</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10</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10日、10月11日、10月12日</w:t>
      </w:r>
      <w:r>
        <w:rPr>
          <w:rFonts w:ascii="Times New Roman" w:hAnsi="Times New Roman" w:eastAsia="宋体" w:cs="Times New Roman"/>
          <w:color w:val="auto"/>
          <w:sz w:val="24"/>
          <w:szCs w:val="24"/>
          <w:highlight w:val="none"/>
        </w:rPr>
        <w:t>对</w:t>
      </w:r>
      <w:r>
        <w:rPr>
          <w:rFonts w:hint="eastAsia" w:ascii="Times New Roman" w:hAnsi="Times New Roman" w:eastAsia="宋体" w:cs="Times New Roman"/>
          <w:color w:val="auto"/>
          <w:sz w:val="24"/>
          <w:szCs w:val="24"/>
          <w:highlight w:val="none"/>
          <w:lang w:eastAsia="zh-CN"/>
        </w:rPr>
        <w:t>山东华统面业有限公司面粉生产线提升改造项目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olor w:val="auto"/>
          <w:sz w:val="24"/>
          <w:szCs w:val="24"/>
          <w:highlight w:val="none"/>
          <w:lang w:eastAsia="zh-CN"/>
        </w:rPr>
        <w:t>山东华统面业有限公司</w:t>
      </w:r>
      <w:r>
        <w:rPr>
          <w:rFonts w:hint="eastAsia" w:ascii="Times New Roman" w:hAnsi="Times New Roman" w:eastAsia="宋体" w:cs="Times New Roman"/>
          <w:color w:val="auto"/>
          <w:sz w:val="24"/>
          <w:szCs w:val="24"/>
          <w:highlight w:val="none"/>
          <w:lang w:eastAsia="zh-CN"/>
        </w:rPr>
        <w:t>面粉生产线提升改造</w:t>
      </w:r>
      <w:r>
        <w:rPr>
          <w:rFonts w:hint="eastAsia" w:ascii="Times New Roman" w:hAnsi="Times New Roman" w:eastAsia="宋体" w:cs="Times New Roman"/>
          <w:color w:val="auto"/>
          <w:sz w:val="24"/>
          <w:szCs w:val="24"/>
          <w:highlight w:val="none"/>
          <w:lang w:val="en-US" w:eastAsia="zh-CN"/>
        </w:rPr>
        <w:t>工程项目</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11</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10日</w:t>
      </w:r>
      <w:r>
        <w:rPr>
          <w:rFonts w:hint="eastAsia"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lang w:eastAsia="zh-CN"/>
        </w:rPr>
        <w:t>山东华统面业有限公司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山东华统面业有限公司面粉生产线提升改造项目</w:t>
      </w:r>
      <w:r>
        <w:rPr>
          <w:rFonts w:hint="eastAsia" w:ascii="Times New Roman" w:hAnsi="Times New Roman" w:eastAsia="宋体"/>
          <w:color w:val="auto"/>
          <w:sz w:val="24"/>
          <w:szCs w:val="24"/>
          <w:highlight w:val="none"/>
        </w:rPr>
        <w:t>进行自主验收并验收通过。</w:t>
      </w:r>
    </w:p>
    <w:p w14:paraId="372A944C">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543B4A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600万</w:t>
      </w:r>
      <w:r>
        <w:rPr>
          <w:rFonts w:hint="eastAsia" w:asciiTheme="minorEastAsia" w:hAnsiTheme="minorEastAsia" w:eastAsiaTheme="minorEastAsia" w:cstheme="minorEastAsia"/>
          <w:sz w:val="24"/>
          <w:szCs w:val="24"/>
        </w:rPr>
        <w:t>元，环保投资</w:t>
      </w:r>
      <w:r>
        <w:rPr>
          <w:rFonts w:hint="eastAsia" w:ascii="Times New Roman" w:hAnsi="Times New Roman" w:cs="Times New Roman" w:eastAsiaTheme="minorEastAsia"/>
          <w:sz w:val="24"/>
          <w:szCs w:val="24"/>
          <w:lang w:val="en-US" w:eastAsia="zh-CN"/>
        </w:rPr>
        <w:t>160</w:t>
      </w:r>
      <w:r>
        <w:rPr>
          <w:rFonts w:hint="eastAsia" w:asciiTheme="minorEastAsia" w:hAnsiTheme="minorEastAsia" w:eastAsiaTheme="minorEastAsia" w:cstheme="minorEastAsia"/>
          <w:sz w:val="24"/>
          <w:szCs w:val="24"/>
        </w:rPr>
        <w:t>万元。</w:t>
      </w:r>
    </w:p>
    <w:p w14:paraId="7906BB07">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14:paraId="42F8D9AD">
      <w:pPr>
        <w:keepNext w:val="0"/>
        <w:keepLines w:val="0"/>
        <w:pageBreakBefore w:val="0"/>
        <w:numPr>
          <w:ilvl w:val="0"/>
          <w:numId w:val="0"/>
        </w:numPr>
        <w:kinsoku/>
        <w:wordWrap/>
        <w:overflowPunct/>
        <w:topLinePunct w:val="0"/>
        <w:bidi w:val="0"/>
        <w:spacing w:line="560" w:lineRule="exact"/>
        <w:ind w:firstLine="480" w:firstLineChars="200"/>
        <w:textAlignment w:val="auto"/>
        <w:outlineLvl w:val="9"/>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山东华统面业有限公司面粉生产线提升改造项目</w:t>
      </w:r>
    </w:p>
    <w:p w14:paraId="6C54AE42">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14:paraId="66771ED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14:paraId="52F1312A">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14:paraId="3797C622">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14:paraId="5BD196B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3"/>
          <w:rFonts w:hint="default" w:ascii="Times New Roman" w:hAnsi="Times New Roman" w:eastAsia="宋体" w:cs="Times New Roman"/>
          <w:sz w:val="24"/>
          <w:lang w:val="en-US" w:eastAsia="zh-CN"/>
        </w:rPr>
        <w:t>本项目技改部分不涉及废水的产生。技改完成后全厂润麦水随产品带走，抑尘用水自然蒸发损耗，生活废水经化粪池处理后，由环卫部门定期清运，不外排。</w:t>
      </w:r>
    </w:p>
    <w:p w14:paraId="03886FF5">
      <w:pPr>
        <w:keepNext w:val="0"/>
        <w:keepLines w:val="0"/>
        <w:pageBreakBefore w:val="0"/>
        <w:kinsoku/>
        <w:wordWrap/>
        <w:overflowPunct/>
        <w:topLinePunct w:val="0"/>
        <w:bidi w:val="0"/>
        <w:adjustRightInd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14:paraId="2EBBA696">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color w:val="000000"/>
          <w:sz w:val="24"/>
          <w:lang w:eastAsia="zh-CN"/>
        </w:rPr>
      </w:pPr>
      <w:r>
        <w:rPr>
          <w:rStyle w:val="33"/>
          <w:rFonts w:hint="eastAsia" w:ascii="Times New Roman" w:hAnsi="Times New Roman" w:eastAsia="宋体" w:cs="Times New Roman"/>
          <w:color w:val="000000"/>
          <w:sz w:val="24"/>
          <w:lang w:val="en-US" w:eastAsia="zh-CN"/>
        </w:rPr>
        <w:t>本项目营运期废气主要来源于原料清理、制粉、打包过程产生的粉尘等。</w:t>
      </w:r>
    </w:p>
    <w:p w14:paraId="5395AF22">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color w:val="000000"/>
          <w:sz w:val="24"/>
          <w:lang w:val="en-US" w:eastAsia="zh-CN"/>
        </w:rPr>
      </w:pPr>
      <w:r>
        <w:rPr>
          <w:rStyle w:val="33"/>
          <w:rFonts w:hint="default" w:ascii="Times New Roman" w:hAnsi="Times New Roman" w:eastAsia="宋体" w:cs="Times New Roman"/>
          <w:color w:val="000000"/>
          <w:sz w:val="24"/>
          <w:lang w:eastAsia="zh-CN"/>
        </w:rPr>
        <w:t>①</w:t>
      </w:r>
      <w:r>
        <w:rPr>
          <w:rStyle w:val="33"/>
          <w:rFonts w:hint="eastAsia" w:ascii="Times New Roman" w:hAnsi="Times New Roman" w:eastAsia="宋体" w:cs="Times New Roman"/>
          <w:color w:val="000000"/>
          <w:sz w:val="24"/>
          <w:lang w:val="en-US" w:eastAsia="zh-CN"/>
        </w:rPr>
        <w:t>有组织废气</w:t>
      </w:r>
    </w:p>
    <w:p w14:paraId="480BDC3D">
      <w:pPr>
        <w:numPr>
          <w:ilvl w:val="0"/>
          <w:numId w:val="0"/>
        </w:num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（1）原料卸料</w:t>
      </w:r>
    </w:p>
    <w:p w14:paraId="4E4E0C66">
      <w:pPr>
        <w:numPr>
          <w:ilvl w:val="0"/>
          <w:numId w:val="0"/>
        </w:num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项目购进的原粮中含有少量轻杂质，卸粮工序会有粉尘产生。项目在卸粮区上方设置集尘罩，并通过管道汇集到一起，进入到脉冲除尘器中进行处理，通过现有1根35m高排气筒DA001进行排放。</w:t>
      </w:r>
    </w:p>
    <w:p w14:paraId="3A932F65">
      <w:pPr>
        <w:numPr>
          <w:ilvl w:val="0"/>
          <w:numId w:val="0"/>
        </w:num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（2）初清工艺</w:t>
      </w:r>
    </w:p>
    <w:p w14:paraId="3DFD05F6">
      <w:pPr>
        <w:numPr>
          <w:ilvl w:val="0"/>
          <w:numId w:val="0"/>
        </w:num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项目购进的原粮中含有少量轻杂质，利用筛分设备对原粮进行初筛，处理过程会产生粉尘。初清环节均为密闭连续生产，采用密闭管道+脉冲除尘，粉尘通过密闭集尘管道由1套脉冲除尘器处理（TA002），经</w:t>
      </w:r>
      <w:r>
        <w:rPr>
          <w:rStyle w:val="33"/>
          <w:rFonts w:hint="eastAsia" w:ascii="Times New Roman" w:hAnsi="Times New Roman" w:cs="Times New Roman"/>
          <w:sz w:val="24"/>
          <w:lang w:val="en-US" w:eastAsia="zh-CN"/>
        </w:rPr>
        <w:t>35</w:t>
      </w:r>
      <w:r>
        <w:rPr>
          <w:rStyle w:val="33"/>
          <w:rFonts w:hint="eastAsia" w:ascii="Times New Roman" w:hAnsi="Times New Roman" w:eastAsia="宋体" w:cs="Times New Roman"/>
          <w:sz w:val="24"/>
          <w:lang w:val="en-US" w:eastAsia="zh-CN"/>
        </w:rPr>
        <w:t>m高</w:t>
      </w:r>
      <w:r>
        <w:rPr>
          <w:rStyle w:val="33"/>
          <w:rFonts w:hint="eastAsia" w:ascii="Times New Roman" w:hAnsi="Times New Roman" w:cs="Times New Roman"/>
          <w:sz w:val="24"/>
          <w:lang w:val="en-US" w:eastAsia="zh-CN"/>
        </w:rPr>
        <w:t>2</w:t>
      </w:r>
      <w:r>
        <w:rPr>
          <w:rStyle w:val="33"/>
          <w:rFonts w:hint="eastAsia" w:ascii="Times New Roman" w:hAnsi="Times New Roman" w:eastAsia="宋体" w:cs="Times New Roman"/>
          <w:sz w:val="24"/>
          <w:lang w:val="en-US" w:eastAsia="zh-CN"/>
        </w:rPr>
        <w:t>#排气筒引至初清车间楼顶排放（DA002）。</w:t>
      </w:r>
    </w:p>
    <w:p w14:paraId="43CFB3A6">
      <w:pPr>
        <w:numPr>
          <w:ilvl w:val="0"/>
          <w:numId w:val="0"/>
        </w:num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（3）清理工序</w:t>
      </w:r>
    </w:p>
    <w:p w14:paraId="20C1D18B">
      <w:pPr>
        <w:numPr>
          <w:ilvl w:val="0"/>
          <w:numId w:val="0"/>
        </w:num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本项目清理包含毛麦清理、净麦清理两个部分，均会产生粉尘。①毛麦清理：项目毛麦清理包括筛选、去石、打麦、磁选，处理过程会产生粉尘。毛麦清理环节为密闭连续生产，采用密闭管道+脉冲除尘，项目配置2套脉冲除尘器（TA003、TA004），粉尘通过密闭集尘管道由各自配套的脉冲除尘器处理，经35m高3#、4#排气筒引至毛麦清理车间楼顶排放（DA003、DA004）。②净麦清理：毛麦经过加水润麦后进入净麦仓，然后经封闭的去石机、振动筛、碾剥麦机、色选机等设备进一步清理，此工序粉会产生极少粉尘。净麦清理环节为密闭连续生产，采用密闭管道+脉冲除尘。粉尘经密闭集尘管道由1套脉冲除尘器（TA005）进行处理，经35m高5#排气筒引至净麦清理车间楼顶排放（DA005）。</w:t>
      </w:r>
    </w:p>
    <w:p w14:paraId="6CF56418">
      <w:pPr>
        <w:numPr>
          <w:ilvl w:val="0"/>
          <w:numId w:val="0"/>
        </w:num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（4）制粉过程</w:t>
      </w:r>
    </w:p>
    <w:p w14:paraId="58483E0F">
      <w:pPr>
        <w:numPr>
          <w:ilvl w:val="0"/>
          <w:numId w:val="0"/>
        </w:num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本项目磨制工序包括：磨粉、筛分、清粉和打麸，会产生粉尘。制粉工段各设备均为封闭式设备，项目配置6套脉冲除尘器（TA006、TA007、TA008、TA009、TA010、TA011），粉尘通过密闭集尘管道由各自配套的脉冲除尘器处理，处理后经35m高6#、7#、8#、9#、10#、11#排气筒引至制粉车间楼顶排放（DA006、DA007、DA008、DA009、DA010、DA011）。</w:t>
      </w:r>
    </w:p>
    <w:p w14:paraId="4F14C112">
      <w:pPr>
        <w:numPr>
          <w:ilvl w:val="0"/>
          <w:numId w:val="0"/>
        </w:num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default"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（5）包装工序</w:t>
      </w:r>
    </w:p>
    <w:p w14:paraId="77463BF0">
      <w:pPr>
        <w:numPr>
          <w:ilvl w:val="0"/>
          <w:numId w:val="0"/>
        </w:num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本项目包装工序包含次粉打包，麸皮打包，面粉检查筛、配粉和打包，会产生粉尘。项目面粉装袋包装过程中，面粉从出粉口卸落入袋中时，由于出口与包装袋有一定落差，产品下落时受到一定冲击力产生粉尘。包装环节均为密闭连续生产，采用密闭管道+脉冲除尘，粉尘通过密闭集尘管道由1套脉冲除尘器处理（TA012），经35m高12#排气筒引至配粉打包车间楼顶排放（DA012）。</w:t>
      </w:r>
    </w:p>
    <w:p w14:paraId="3F99CF87">
      <w:pPr>
        <w:pStyle w:val="2"/>
        <w:spacing w:line="360" w:lineRule="auto"/>
        <w:ind w:firstLine="480" w:firstLineChars="200"/>
        <w:rPr>
          <w:rFonts w:hint="default"/>
          <w:lang w:val="en-US" w:eastAsia="zh-CN"/>
        </w:rPr>
      </w:pPr>
      <w:r>
        <w:rPr>
          <w:rStyle w:val="33"/>
          <w:rFonts w:hint="eastAsia" w:ascii="Times New Roman" w:hAnsi="Times New Roman" w:eastAsia="宋体" w:cs="Times New Roman"/>
          <w:color w:val="000000"/>
          <w:sz w:val="24"/>
          <w:lang w:val="en-US" w:eastAsia="zh-CN"/>
        </w:rPr>
        <w:t>②有组织废气</w:t>
      </w:r>
    </w:p>
    <w:p w14:paraId="06B5B8BC">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Style w:val="33"/>
          <w:rFonts w:hint="eastAsia" w:ascii="Times New Roman" w:hAnsi="Times New Roman" w:eastAsia="宋体" w:cs="Times New Roman"/>
          <w:sz w:val="24"/>
          <w:lang w:val="en-US" w:eastAsia="zh-CN"/>
        </w:rPr>
        <w:t>项目无组织颗粒物主要来自卸粮工段未被收集的颗粒物，由于厂房封闭很好，极少颗粒物逸散到外环境，</w:t>
      </w:r>
      <w:r>
        <w:rPr>
          <w:rStyle w:val="33"/>
          <w:rFonts w:hint="default" w:ascii="Times New Roman" w:hAnsi="Times New Roman" w:eastAsia="宋体" w:cs="Times New Roman"/>
          <w:sz w:val="24"/>
          <w:lang w:val="en-US" w:eastAsia="zh-CN"/>
        </w:rPr>
        <w:t>通过加强车间日常管理</w:t>
      </w:r>
      <w:r>
        <w:rPr>
          <w:rStyle w:val="33"/>
          <w:rFonts w:hint="eastAsia" w:ascii="Times New Roman" w:hAnsi="Times New Roman" w:eastAsia="宋体" w:cs="Times New Roman"/>
          <w:sz w:val="24"/>
          <w:lang w:val="en-US" w:eastAsia="zh-CN"/>
        </w:rPr>
        <w:t>、增加绿化</w:t>
      </w:r>
      <w:r>
        <w:rPr>
          <w:rStyle w:val="33"/>
          <w:rFonts w:hint="default" w:ascii="Times New Roman" w:hAnsi="Times New Roman" w:eastAsia="宋体" w:cs="Times New Roman"/>
          <w:sz w:val="24"/>
          <w:szCs w:val="24"/>
          <w:lang w:val="en-US" w:eastAsia="zh-CN"/>
        </w:rPr>
        <w:t>和车间通风换气等措施，减少对周围环境的影响。</w:t>
      </w:r>
    </w:p>
    <w:p w14:paraId="70E91337">
      <w:pPr>
        <w:keepNext w:val="0"/>
        <w:keepLines w:val="0"/>
        <w:pageBreakBefore w:val="0"/>
        <w:kinsoku/>
        <w:wordWrap/>
        <w:overflowPunct/>
        <w:topLinePunct w:val="0"/>
        <w:bidi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14:paraId="6293375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3"/>
          <w:rFonts w:hint="eastAsia" w:ascii="Times New Roman" w:hAnsi="Times New Roman" w:eastAsia="宋体" w:cs="Times New Roman"/>
          <w:sz w:val="24"/>
          <w:lang w:val="en-US" w:eastAsia="zh-CN"/>
        </w:rPr>
        <w:t>本项目噪声主要来源于磨粉机、配麦器、去石机、打麦机、旋振筛、清粉机、除尘器、风机等设备运转产生的噪声。项目采取的主要降噪措施包括：选用低噪声设备，基础减振，厂房隔声；保持设备处于良好的运转状态，同时加强内部管理，合理作业，避免不必要的突发性噪声。</w:t>
      </w:r>
    </w:p>
    <w:p w14:paraId="2EF31FED">
      <w:pPr>
        <w:keepNext w:val="0"/>
        <w:keepLines w:val="0"/>
        <w:pageBreakBefore w:val="0"/>
        <w:kinsoku/>
        <w:wordWrap/>
        <w:overflowPunct/>
        <w:topLinePunct w:val="0"/>
        <w:bidi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14:paraId="7DA5D345">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项目产生的固体废物主要包括卸粮、初清、清理等过程产生的杂质、除尘器收集的粉尘、废包装材料和废润滑油桶、废润滑油、废含油抹布。</w:t>
      </w:r>
    </w:p>
    <w:p w14:paraId="4F12B06D">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）卸粮、初清、清理等过程产生的杂质</w:t>
      </w:r>
    </w:p>
    <w:p w14:paraId="4EB3BFF4">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根据项目实际生产情况，处理小麦会产生杂质，项目产生的杂质属于一般固废，日常日清，委托环卫部门定期清运。</w:t>
      </w:r>
    </w:p>
    <w:p w14:paraId="30F141AF">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）除尘器收集的粉尘</w:t>
      </w:r>
    </w:p>
    <w:p w14:paraId="0B18AB6C">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项目制粉过程中除尘器收集的粉尘属于一般固废，收集后外售需求单位。</w:t>
      </w:r>
    </w:p>
    <w:p w14:paraId="1F9BD553">
      <w:pPr>
        <w:pStyle w:val="2"/>
        <w:numPr>
          <w:ilvl w:val="0"/>
          <w:numId w:val="1"/>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废润滑油桶</w:t>
      </w:r>
      <w:r>
        <w:rPr>
          <w:rFonts w:hint="eastAsia" w:ascii="Times New Roman" w:hAnsi="Times New Roman" w:eastAsia="宋体" w:cs="Times New Roman"/>
          <w:color w:val="auto"/>
          <w:sz w:val="24"/>
          <w:szCs w:val="24"/>
          <w:lang w:val="en-US" w:eastAsia="zh-CN" w:bidi="ar-SA"/>
        </w:rPr>
        <w:t>（</w:t>
      </w:r>
      <w:r>
        <w:rPr>
          <w:rFonts w:hint="default" w:ascii="Times New Roman" w:hAnsi="Times New Roman" w:eastAsia="宋体" w:cs="Times New Roman"/>
          <w:color w:val="auto"/>
          <w:sz w:val="24"/>
          <w:szCs w:val="24"/>
          <w:lang w:val="en-US" w:eastAsia="zh-CN" w:bidi="ar-SA"/>
        </w:rPr>
        <w:t>HW49</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900-041-49</w:t>
      </w:r>
      <w:r>
        <w:rPr>
          <w:rFonts w:hint="eastAsia" w:ascii="Times New Roman" w:hAnsi="Times New Roman" w:eastAsia="宋体" w:cs="Times New Roman"/>
          <w:color w:val="auto"/>
          <w:sz w:val="24"/>
          <w:szCs w:val="24"/>
          <w:lang w:val="en-US" w:eastAsia="zh-CN" w:bidi="ar-SA"/>
        </w:rPr>
        <w:t>）</w:t>
      </w:r>
    </w:p>
    <w:p w14:paraId="6AE297F1">
      <w:pPr>
        <w:pStyle w:val="2"/>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本项目使用润滑油过程会产生废润滑油桶，收集后暂存于危废间，定期委托有危废处理资质单位处理处置。</w:t>
      </w:r>
    </w:p>
    <w:p w14:paraId="66D87B99">
      <w:pPr>
        <w:pStyle w:val="2"/>
        <w:numPr>
          <w:ilvl w:val="0"/>
          <w:numId w:val="1"/>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废润滑油</w:t>
      </w:r>
      <w:r>
        <w:rPr>
          <w:rFonts w:hint="eastAsia" w:ascii="Times New Roman" w:hAnsi="Times New Roman" w:eastAsia="宋体" w:cs="Times New Roman"/>
          <w:color w:val="auto"/>
          <w:sz w:val="24"/>
          <w:szCs w:val="24"/>
          <w:lang w:val="en-US" w:eastAsia="zh-CN" w:bidi="ar-SA"/>
        </w:rPr>
        <w:t>（</w:t>
      </w:r>
      <w:r>
        <w:rPr>
          <w:rFonts w:hint="default" w:ascii="Times New Roman" w:hAnsi="Times New Roman" w:eastAsia="宋体" w:cs="Times New Roman"/>
          <w:color w:val="auto"/>
          <w:sz w:val="24"/>
          <w:szCs w:val="24"/>
          <w:lang w:val="en-US" w:eastAsia="zh-CN" w:bidi="ar-SA"/>
        </w:rPr>
        <w:t>HW49</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900-</w:t>
      </w:r>
      <w:r>
        <w:rPr>
          <w:rFonts w:hint="eastAsia" w:ascii="Times New Roman" w:cs="Times New Roman"/>
          <w:color w:val="auto"/>
          <w:sz w:val="24"/>
          <w:szCs w:val="24"/>
          <w:lang w:val="en-US" w:eastAsia="zh-CN" w:bidi="ar-SA"/>
        </w:rPr>
        <w:t>217</w:t>
      </w:r>
      <w:r>
        <w:rPr>
          <w:rFonts w:hint="default" w:ascii="Times New Roman" w:hAnsi="Times New Roman" w:eastAsia="宋体" w:cs="Times New Roman"/>
          <w:color w:val="auto"/>
          <w:sz w:val="24"/>
          <w:szCs w:val="24"/>
          <w:lang w:val="en-US" w:eastAsia="zh-CN" w:bidi="ar-SA"/>
        </w:rPr>
        <w:t>-49</w:t>
      </w:r>
      <w:r>
        <w:rPr>
          <w:rFonts w:hint="eastAsia" w:ascii="Times New Roman" w:hAnsi="Times New Roman" w:eastAsia="宋体" w:cs="Times New Roman"/>
          <w:color w:val="auto"/>
          <w:sz w:val="24"/>
          <w:szCs w:val="24"/>
          <w:lang w:val="en-US" w:eastAsia="zh-CN" w:bidi="ar-SA"/>
        </w:rPr>
        <w:t>）</w:t>
      </w:r>
    </w:p>
    <w:p w14:paraId="534CDBA6">
      <w:pPr>
        <w:pStyle w:val="2"/>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项目机械维修过程中会产生废润滑油，废润滑油属于危险废物，收集后暂存于危废间，定期委托有资质的单位进行处置。</w:t>
      </w:r>
    </w:p>
    <w:p w14:paraId="2FFC192E">
      <w:pPr>
        <w:pStyle w:val="2"/>
        <w:numPr>
          <w:ilvl w:val="0"/>
          <w:numId w:val="1"/>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废含油抹布</w:t>
      </w:r>
      <w:r>
        <w:rPr>
          <w:rFonts w:hint="eastAsia" w:ascii="Times New Roman" w:hAnsi="Times New Roman" w:eastAsia="宋体" w:cs="Times New Roman"/>
          <w:color w:val="auto"/>
          <w:sz w:val="24"/>
          <w:szCs w:val="24"/>
          <w:lang w:val="en-US" w:eastAsia="zh-CN" w:bidi="ar-SA"/>
        </w:rPr>
        <w:t>（</w:t>
      </w:r>
      <w:r>
        <w:rPr>
          <w:rFonts w:hint="default" w:ascii="Times New Roman" w:hAnsi="Times New Roman" w:eastAsia="宋体" w:cs="Times New Roman"/>
          <w:color w:val="auto"/>
          <w:sz w:val="24"/>
          <w:szCs w:val="24"/>
          <w:lang w:val="en-US" w:eastAsia="zh-CN" w:bidi="ar-SA"/>
        </w:rPr>
        <w:t>HW49</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900-041-49</w:t>
      </w:r>
      <w:r>
        <w:rPr>
          <w:rFonts w:hint="eastAsia" w:ascii="Times New Roman" w:hAnsi="Times New Roman" w:eastAsia="宋体" w:cs="Times New Roman"/>
          <w:color w:val="auto"/>
          <w:sz w:val="24"/>
          <w:szCs w:val="24"/>
          <w:lang w:val="en-US" w:eastAsia="zh-CN" w:bidi="ar-SA"/>
        </w:rPr>
        <w:t>）</w:t>
      </w:r>
    </w:p>
    <w:p w14:paraId="4185C2BF">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lang w:val="en-US" w:eastAsia="zh-CN"/>
        </w:rPr>
        <w:t>机械维修中会产生废含油抹布，属于危险废物中的豁免危废，全过程不按危险废物管理，混入生活垃圾，环卫部门定期清运。</w:t>
      </w:r>
    </w:p>
    <w:p w14:paraId="4CB22796">
      <w:pPr>
        <w:pStyle w:val="31"/>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14:paraId="6404D5EC">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40" w:firstLineChars="1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highlight w:val="none"/>
          <w:lang w:eastAsia="zh-CN"/>
        </w:rPr>
        <w:t>山东华统面业有限公司面粉生产线提升改造项目</w:t>
      </w:r>
      <w:r>
        <w:rPr>
          <w:rFonts w:hint="eastAsia" w:ascii="Times New Roman" w:hAnsi="Times New Roman" w:cs="Times New Roman" w:eastAsiaTheme="minorEastAsia"/>
          <w:color w:val="000000"/>
          <w:sz w:val="24"/>
          <w:szCs w:val="24"/>
          <w:highlight w:val="none"/>
          <w:lang w:val="en-US" w:eastAsia="zh-CN"/>
        </w:rPr>
        <w:t>竣工环境保护验收监测报告》，验收监测期间，项目生产工况稳定，生产负荷均在75%以上，符合验收监测应在工况的要求。监测结果表明：</w:t>
      </w:r>
    </w:p>
    <w:p w14:paraId="076D7E3C">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1、废水</w:t>
      </w:r>
    </w:p>
    <w:p w14:paraId="1BE86EA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Style w:val="33"/>
          <w:rFonts w:hint="default" w:ascii="Times New Roman" w:hAnsi="Times New Roman" w:eastAsia="宋体" w:cs="Times New Roman"/>
          <w:sz w:val="24"/>
          <w:lang w:val="en-US" w:eastAsia="zh-CN"/>
        </w:rPr>
        <w:t>本项目技改部分不涉及废水的产生。技改完成后全厂润麦水随产品带走，抑尘用水自然蒸发损耗，生活废水经化粪池处理后，由环卫部门定期清运，不外排。</w:t>
      </w:r>
    </w:p>
    <w:p w14:paraId="6AB3C75A">
      <w:pPr>
        <w:pStyle w:val="32"/>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w:t>
      </w:r>
      <w:r>
        <w:rPr>
          <w:rFonts w:hint="default" w:ascii="Times New Roman" w:hAnsi="Times New Roman" w:cs="Times New Roman" w:eastAsiaTheme="minorEastAsia"/>
          <w:b/>
          <w:bCs/>
          <w:kern w:val="2"/>
          <w:sz w:val="28"/>
          <w:szCs w:val="28"/>
          <w:lang w:val="en-US" w:eastAsia="zh-CN" w:bidi="ar-SA"/>
        </w:rPr>
        <w:t>、废气</w:t>
      </w:r>
    </w:p>
    <w:p w14:paraId="2D301C1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val="en-US" w:eastAsia="zh-CN" w:bidi="ar-SA"/>
        </w:rPr>
        <w:t>验收监测期间，排气筒有组织颗粒物最高浓度为</w:t>
      </w:r>
      <w:r>
        <w:rPr>
          <w:rFonts w:hint="eastAsia" w:ascii="Times New Roman" w:hAnsi="Times New Roman" w:eastAsia="宋体" w:cs="Times New Roman"/>
          <w:color w:val="auto"/>
          <w:sz w:val="24"/>
          <w:szCs w:val="24"/>
          <w:highlight w:val="none"/>
          <w:lang w:val="en-US" w:eastAsia="zh-CN" w:bidi="ar-SA"/>
        </w:rPr>
        <w:t>1.9</w:t>
      </w:r>
      <w:r>
        <w:rPr>
          <w:rFonts w:hint="default" w:ascii="Times New Roman" w:hAnsi="Times New Roman" w:eastAsia="宋体" w:cs="Times New Roman"/>
          <w:color w:val="auto"/>
          <w:sz w:val="24"/>
          <w:szCs w:val="24"/>
          <w:highlight w:val="none"/>
          <w:lang w:val="en-US" w:eastAsia="zh-CN" w:bidi="ar-SA"/>
        </w:rPr>
        <w:t xml:space="preserve"> mg/m</w:t>
      </w:r>
      <w:r>
        <w:rPr>
          <w:rFonts w:hint="default" w:ascii="Times New Roman" w:hAnsi="Times New Roman" w:eastAsia="宋体" w:cs="Times New Roman"/>
          <w:color w:val="auto"/>
          <w:sz w:val="24"/>
          <w:szCs w:val="24"/>
          <w:highlight w:val="none"/>
          <w:vertAlign w:val="superscript"/>
          <w:lang w:val="en-US" w:eastAsia="zh-CN" w:bidi="ar-SA"/>
        </w:rPr>
        <w:t>3</w:t>
      </w:r>
      <w:r>
        <w:rPr>
          <w:rFonts w:hint="default" w:ascii="Times New Roman" w:hAnsi="Times New Roman" w:eastAsia="宋体" w:cs="Times New Roman"/>
          <w:color w:val="auto"/>
          <w:sz w:val="24"/>
          <w:szCs w:val="24"/>
          <w:highlight w:val="none"/>
          <w:lang w:val="en-US" w:eastAsia="zh-CN" w:bidi="ar-SA"/>
        </w:rPr>
        <w:t>，满足</w:t>
      </w:r>
      <w:r>
        <w:rPr>
          <w:rFonts w:hint="eastAsia" w:ascii="Times New Roman" w:hAnsi="Times New Roman" w:eastAsia="宋体" w:cs="Times New Roman"/>
          <w:color w:val="auto"/>
          <w:sz w:val="24"/>
          <w:szCs w:val="24"/>
          <w:highlight w:val="none"/>
          <w:lang w:val="en-US" w:eastAsia="zh-CN"/>
        </w:rPr>
        <w:t>颗粒物有组织排放浓度执行《区域性大气污染物综合排放标准》（DB37/2376-2019）表1“一般控制区”标准限值要求（20mg/m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bidi="ar-SA"/>
        </w:rPr>
        <w:t>排气筒有组织颗粒物</w:t>
      </w:r>
      <w:r>
        <w:rPr>
          <w:rFonts w:hint="eastAsia" w:ascii="Times New Roman" w:hAnsi="Times New Roman" w:eastAsia="宋体" w:cs="Times New Roman"/>
          <w:color w:val="auto"/>
          <w:sz w:val="24"/>
          <w:szCs w:val="24"/>
          <w:highlight w:val="none"/>
          <w:lang w:val="en-US" w:eastAsia="zh-CN"/>
        </w:rPr>
        <w:t>最高排放速率为0.021kg/h，满足《大气污染物综合排放标准》（GB 16297-1996）表2标准限值要求（h=35m：31kg/h）。</w:t>
      </w:r>
    </w:p>
    <w:p w14:paraId="3003FA0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w:t>
      </w:r>
      <w:r>
        <w:rPr>
          <w:rFonts w:hint="default" w:ascii="Times New Roman" w:hAnsi="Times New Roman" w:eastAsia="宋体" w:cs="Times New Roman"/>
          <w:color w:val="auto"/>
          <w:sz w:val="24"/>
          <w:szCs w:val="24"/>
          <w:highlight w:val="none"/>
          <w:lang w:val="en-US" w:eastAsia="zh-CN" w:bidi="ar-SA"/>
        </w:rPr>
        <w:t>无组织颗粒物最高排放浓度为0.</w:t>
      </w:r>
      <w:r>
        <w:rPr>
          <w:rFonts w:hint="eastAsia" w:ascii="Times New Roman" w:hAnsi="Times New Roman" w:eastAsia="宋体" w:cs="Times New Roman"/>
          <w:color w:val="auto"/>
          <w:sz w:val="24"/>
          <w:szCs w:val="24"/>
          <w:highlight w:val="none"/>
          <w:lang w:val="en-US" w:eastAsia="zh-CN" w:bidi="ar-SA"/>
        </w:rPr>
        <w:t>389</w:t>
      </w:r>
      <w:r>
        <w:rPr>
          <w:rFonts w:hint="default" w:ascii="Times New Roman" w:hAnsi="Times New Roman" w:eastAsia="宋体" w:cs="Times New Roman"/>
          <w:color w:val="auto"/>
          <w:sz w:val="24"/>
          <w:szCs w:val="24"/>
          <w:highlight w:val="none"/>
          <w:lang w:val="en-US" w:eastAsia="zh-CN" w:bidi="ar-SA"/>
        </w:rPr>
        <w:t xml:space="preserve"> mg/m</w:t>
      </w:r>
      <w:r>
        <w:rPr>
          <w:rFonts w:hint="default" w:ascii="Times New Roman" w:hAnsi="Times New Roman" w:eastAsia="宋体" w:cs="Times New Roman"/>
          <w:color w:val="auto"/>
          <w:sz w:val="24"/>
          <w:szCs w:val="24"/>
          <w:highlight w:val="none"/>
          <w:vertAlign w:val="superscript"/>
          <w:lang w:val="en-US" w:eastAsia="zh-CN" w:bidi="ar-SA"/>
        </w:rPr>
        <w:t>3</w:t>
      </w:r>
      <w:r>
        <w:rPr>
          <w:rFonts w:hint="default" w:ascii="Times New Roman" w:hAnsi="Times New Roman" w:eastAsia="宋体" w:cs="Times New Roman"/>
          <w:color w:val="auto"/>
          <w:sz w:val="24"/>
          <w:szCs w:val="24"/>
          <w:highlight w:val="none"/>
          <w:lang w:val="en-US" w:eastAsia="zh-CN" w:bidi="ar-SA"/>
        </w:rPr>
        <w:t>，满足《大气污染物综合排放标准》（GB 16297-1996）中无组织排放浓度限值：1.0 mg/m</w:t>
      </w:r>
      <w:r>
        <w:rPr>
          <w:rFonts w:hint="default" w:ascii="Times New Roman" w:hAnsi="Times New Roman" w:eastAsia="宋体" w:cs="Times New Roman"/>
          <w:color w:val="auto"/>
          <w:sz w:val="24"/>
          <w:szCs w:val="24"/>
          <w:highlight w:val="none"/>
          <w:vertAlign w:val="superscript"/>
          <w:lang w:val="en-US" w:eastAsia="zh-CN" w:bidi="ar-SA"/>
        </w:rPr>
        <w:t>3</w:t>
      </w:r>
      <w:r>
        <w:rPr>
          <w:rFonts w:hint="default" w:ascii="Times New Roman" w:hAnsi="Times New Roman" w:eastAsia="宋体" w:cs="Times New Roman"/>
          <w:color w:val="auto"/>
          <w:sz w:val="24"/>
          <w:szCs w:val="24"/>
          <w:highlight w:val="none"/>
          <w:lang w:val="en-US" w:eastAsia="zh-CN" w:bidi="ar-SA"/>
        </w:rPr>
        <w:t>。</w:t>
      </w:r>
    </w:p>
    <w:p w14:paraId="4AF4AC09">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3、噪声</w:t>
      </w:r>
    </w:p>
    <w:p w14:paraId="383B973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验收监测期间，厂界昼间最大噪声值为5</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 xml:space="preserve"> dB(A)，夜间最大噪声值为4</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 xml:space="preserve"> dB(A)，满足《工业企业厂界环境噪声排放标准》（GB 12348-2008）</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类区标准（昼间6</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 xml:space="preserve"> dB(A)、夜间5</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 xml:space="preserve"> dB(A)）要求。</w:t>
      </w:r>
    </w:p>
    <w:p w14:paraId="11F2971E">
      <w:pPr>
        <w:pStyle w:val="32"/>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14:paraId="3C4BCB27">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项目产生的固体废物主要包括卸粮、初清、清理等过程产生的杂质、除尘器收集的粉尘、废包装材料和废润滑油桶、废润滑油、废含油抹布。</w:t>
      </w:r>
    </w:p>
    <w:p w14:paraId="2132DFC9">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）卸粮、初清、清理等过程产生的杂质</w:t>
      </w:r>
    </w:p>
    <w:p w14:paraId="37EBDC6B">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根据项目实际生产情况，处理小麦会产生杂质，项目产生的杂质属于一般固废，日常日清，委托环卫部门定期清运。</w:t>
      </w:r>
    </w:p>
    <w:p w14:paraId="1F7F97E8">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）除尘器收集的粉尘</w:t>
      </w:r>
    </w:p>
    <w:p w14:paraId="3CC4C006">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项目制粉过程中除尘器收集的粉尘属于一般固废，收集后外售需求单位。</w:t>
      </w:r>
    </w:p>
    <w:p w14:paraId="1E4219A6">
      <w:pPr>
        <w:pStyle w:val="2"/>
        <w:numPr>
          <w:ilvl w:val="0"/>
          <w:numId w:val="2"/>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废润滑油桶</w:t>
      </w:r>
      <w:r>
        <w:rPr>
          <w:rFonts w:hint="eastAsia" w:ascii="Times New Roman" w:hAnsi="Times New Roman" w:eastAsia="宋体" w:cs="Times New Roman"/>
          <w:color w:val="auto"/>
          <w:sz w:val="24"/>
          <w:szCs w:val="24"/>
          <w:lang w:val="en-US" w:eastAsia="zh-CN" w:bidi="ar-SA"/>
        </w:rPr>
        <w:t>（</w:t>
      </w:r>
      <w:r>
        <w:rPr>
          <w:rFonts w:hint="default" w:ascii="Times New Roman" w:hAnsi="Times New Roman" w:eastAsia="宋体" w:cs="Times New Roman"/>
          <w:color w:val="auto"/>
          <w:sz w:val="24"/>
          <w:szCs w:val="24"/>
          <w:lang w:val="en-US" w:eastAsia="zh-CN" w:bidi="ar-SA"/>
        </w:rPr>
        <w:t>HW49</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900-041-49</w:t>
      </w:r>
      <w:r>
        <w:rPr>
          <w:rFonts w:hint="eastAsia" w:ascii="Times New Roman" w:hAnsi="Times New Roman" w:eastAsia="宋体" w:cs="Times New Roman"/>
          <w:color w:val="auto"/>
          <w:sz w:val="24"/>
          <w:szCs w:val="24"/>
          <w:lang w:val="en-US" w:eastAsia="zh-CN" w:bidi="ar-SA"/>
        </w:rPr>
        <w:t>）</w:t>
      </w:r>
    </w:p>
    <w:p w14:paraId="1B65B7A2">
      <w:pPr>
        <w:pStyle w:val="2"/>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本项目使用润滑油过程会产生废润滑油桶，收集后暂存于危废间，定期委托有危废处理资质单位处理处置。</w:t>
      </w:r>
    </w:p>
    <w:p w14:paraId="0915C73B">
      <w:pPr>
        <w:pStyle w:val="2"/>
        <w:numPr>
          <w:ilvl w:val="0"/>
          <w:numId w:val="2"/>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废润滑油</w:t>
      </w:r>
      <w:r>
        <w:rPr>
          <w:rFonts w:hint="eastAsia" w:ascii="Times New Roman" w:hAnsi="Times New Roman" w:eastAsia="宋体" w:cs="Times New Roman"/>
          <w:color w:val="auto"/>
          <w:sz w:val="24"/>
          <w:szCs w:val="24"/>
          <w:lang w:val="en-US" w:eastAsia="zh-CN" w:bidi="ar-SA"/>
        </w:rPr>
        <w:t>（</w:t>
      </w:r>
      <w:r>
        <w:rPr>
          <w:rFonts w:hint="default" w:ascii="Times New Roman" w:hAnsi="Times New Roman" w:eastAsia="宋体" w:cs="Times New Roman"/>
          <w:color w:val="auto"/>
          <w:sz w:val="24"/>
          <w:szCs w:val="24"/>
          <w:lang w:val="en-US" w:eastAsia="zh-CN" w:bidi="ar-SA"/>
        </w:rPr>
        <w:t>HW49</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900-</w:t>
      </w:r>
      <w:r>
        <w:rPr>
          <w:rFonts w:hint="eastAsia" w:ascii="Times New Roman" w:cs="Times New Roman"/>
          <w:color w:val="auto"/>
          <w:sz w:val="24"/>
          <w:szCs w:val="24"/>
          <w:lang w:val="en-US" w:eastAsia="zh-CN" w:bidi="ar-SA"/>
        </w:rPr>
        <w:t>217</w:t>
      </w:r>
      <w:r>
        <w:rPr>
          <w:rFonts w:hint="default" w:ascii="Times New Roman" w:hAnsi="Times New Roman" w:eastAsia="宋体" w:cs="Times New Roman"/>
          <w:color w:val="auto"/>
          <w:sz w:val="24"/>
          <w:szCs w:val="24"/>
          <w:lang w:val="en-US" w:eastAsia="zh-CN" w:bidi="ar-SA"/>
        </w:rPr>
        <w:t>-49</w:t>
      </w:r>
      <w:r>
        <w:rPr>
          <w:rFonts w:hint="eastAsia" w:ascii="Times New Roman" w:hAnsi="Times New Roman" w:eastAsia="宋体" w:cs="Times New Roman"/>
          <w:color w:val="auto"/>
          <w:sz w:val="24"/>
          <w:szCs w:val="24"/>
          <w:lang w:val="en-US" w:eastAsia="zh-CN" w:bidi="ar-SA"/>
        </w:rPr>
        <w:t>）</w:t>
      </w:r>
    </w:p>
    <w:p w14:paraId="6B824166">
      <w:pPr>
        <w:pStyle w:val="2"/>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项目机械维修过程中会产生废润滑油，废润滑油属于危险废物，收集后暂存于危废间，定期委托有资质的单位进行处置。</w:t>
      </w:r>
    </w:p>
    <w:p w14:paraId="6B6406DE">
      <w:pPr>
        <w:pStyle w:val="2"/>
        <w:numPr>
          <w:ilvl w:val="0"/>
          <w:numId w:val="2"/>
        </w:numPr>
        <w:spacing w:line="360" w:lineRule="auto"/>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废含油抹布</w:t>
      </w:r>
      <w:r>
        <w:rPr>
          <w:rFonts w:hint="eastAsia" w:ascii="Times New Roman" w:hAnsi="Times New Roman" w:eastAsia="宋体" w:cs="Times New Roman"/>
          <w:color w:val="auto"/>
          <w:sz w:val="24"/>
          <w:szCs w:val="24"/>
          <w:lang w:val="en-US" w:eastAsia="zh-CN" w:bidi="ar-SA"/>
        </w:rPr>
        <w:t>（</w:t>
      </w:r>
      <w:r>
        <w:rPr>
          <w:rFonts w:hint="default" w:ascii="Times New Roman" w:hAnsi="Times New Roman" w:eastAsia="宋体" w:cs="Times New Roman"/>
          <w:color w:val="auto"/>
          <w:sz w:val="24"/>
          <w:szCs w:val="24"/>
          <w:lang w:val="en-US" w:eastAsia="zh-CN" w:bidi="ar-SA"/>
        </w:rPr>
        <w:t>HW49</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900-041-49</w:t>
      </w:r>
      <w:r>
        <w:rPr>
          <w:rFonts w:hint="eastAsia" w:ascii="Times New Roman" w:hAnsi="Times New Roman" w:eastAsia="宋体" w:cs="Times New Roman"/>
          <w:color w:val="auto"/>
          <w:sz w:val="24"/>
          <w:szCs w:val="24"/>
          <w:lang w:val="en-US" w:eastAsia="zh-CN" w:bidi="ar-SA"/>
        </w:rPr>
        <w:t>）</w:t>
      </w:r>
    </w:p>
    <w:p w14:paraId="5DF6084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机械维修中会产生废含油抹布，属于危险废物中的豁免危废，全过程不按危险废物管理，混入生活垃圾，环卫部门定期清运。</w:t>
      </w:r>
    </w:p>
    <w:p w14:paraId="737F01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竣工环境保护验收监测结果表明：本次验收项目产生的废气、噪声经处理设施处理后均稳定达标排放；项目生产过程中产生的固废</w:t>
      </w:r>
      <w:r>
        <w:rPr>
          <w:rFonts w:hint="eastAsia" w:ascii="Times New Roman" w:hAnsi="Times New Roman" w:cs="Times New Roman" w:eastAsiaTheme="minorEastAsia"/>
          <w:color w:val="000000"/>
          <w:sz w:val="24"/>
          <w:szCs w:val="24"/>
          <w:highlight w:val="none"/>
          <w:lang w:val="en-US" w:eastAsia="zh-CN"/>
        </w:rPr>
        <w:t>和废水</w:t>
      </w:r>
      <w:r>
        <w:rPr>
          <w:rFonts w:hint="default" w:ascii="Times New Roman" w:hAnsi="Times New Roman" w:cs="Times New Roman" w:eastAsiaTheme="minorEastAsia"/>
          <w:color w:val="000000"/>
          <w:sz w:val="24"/>
          <w:szCs w:val="24"/>
          <w:highlight w:val="none"/>
          <w:lang w:val="en-US" w:eastAsia="zh-CN"/>
        </w:rPr>
        <w:t>处置措施合理有效，去向明确，对外环境影响较小。综上所述，</w:t>
      </w:r>
      <w:r>
        <w:rPr>
          <w:rFonts w:hint="eastAsia" w:ascii="Times New Roman" w:hAnsi="Times New Roman" w:cs="Times New Roman"/>
          <w:color w:val="auto"/>
          <w:sz w:val="24"/>
          <w:szCs w:val="24"/>
          <w:highlight w:val="none"/>
          <w:lang w:eastAsia="zh-CN"/>
        </w:rPr>
        <w:t>山东华统面业有限公司面粉生产线提升改造项目</w:t>
      </w:r>
      <w:r>
        <w:rPr>
          <w:rFonts w:hint="default" w:ascii="Times New Roman" w:hAnsi="Times New Roman" w:cs="Times New Roman" w:eastAsiaTheme="minorEastAsia"/>
          <w:color w:val="000000"/>
          <w:sz w:val="24"/>
          <w:szCs w:val="24"/>
          <w:highlight w:val="none"/>
          <w:lang w:val="en-US" w:eastAsia="zh-CN"/>
        </w:rPr>
        <w:t>满足建设项目竣工环境保护验收条件。</w:t>
      </w:r>
    </w:p>
    <w:p w14:paraId="16467A48">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14:paraId="1882E9D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项目建设进行了环境影响评价，基本落实了环境影响评价文件及其批复要求。验收监测期间，项目产生的废气、噪声能够达标排放，固体废物、废水能够得到妥善处理。</w:t>
      </w:r>
    </w:p>
    <w:p w14:paraId="7259544A">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14:paraId="036DD79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山东华统面业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4DA6F381">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14:paraId="7D153B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3DD419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w:t>
      </w:r>
      <w:r>
        <w:rPr>
          <w:rFonts w:hint="eastAsia" w:ascii="Times New Roman" w:hAnsi="Times New Roman" w:cs="Times New Roman" w:eastAsiaTheme="minorEastAsia"/>
          <w:sz w:val="24"/>
          <w:szCs w:val="24"/>
          <w:lang w:val="en-US" w:eastAsia="zh-CN"/>
        </w:rPr>
        <w:t>加强车间通风</w:t>
      </w:r>
      <w:r>
        <w:rPr>
          <w:rFonts w:hint="default" w:ascii="Times New Roman" w:hAnsi="Times New Roman" w:cs="Times New Roman" w:eastAsiaTheme="minorEastAsia"/>
          <w:sz w:val="24"/>
          <w:szCs w:val="24"/>
          <w:lang w:val="en-US" w:eastAsia="zh-CN"/>
        </w:rPr>
        <w:t>，确保</w:t>
      </w:r>
      <w:r>
        <w:rPr>
          <w:rFonts w:hint="eastAsia" w:ascii="Times New Roman" w:hAnsi="Times New Roman" w:cs="Times New Roman" w:eastAsiaTheme="minorEastAsia"/>
          <w:sz w:val="24"/>
          <w:szCs w:val="24"/>
          <w:lang w:val="en-US" w:eastAsia="zh-CN"/>
        </w:rPr>
        <w:t>厂界无组织废气排放达到标准，减少对周围环境的影响</w:t>
      </w: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eastAsiaTheme="minorEastAsia"/>
          <w:sz w:val="24"/>
          <w:szCs w:val="24"/>
          <w:lang w:val="en-US" w:eastAsia="zh-CN"/>
        </w:rPr>
        <w:t xml:space="preserve"> </w:t>
      </w:r>
    </w:p>
    <w:p w14:paraId="2B09ED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w:t>
      </w:r>
      <w:r>
        <w:rPr>
          <w:rFonts w:hint="eastAsia" w:ascii="Times New Roman" w:hAnsi="Times New Roman" w:cs="Times New Roman"/>
          <w:color w:val="auto"/>
          <w:kern w:val="2"/>
          <w:sz w:val="24"/>
          <w:szCs w:val="24"/>
          <w:lang w:val="en-US" w:eastAsia="zh-CN" w:bidi="ar-SA"/>
        </w:rPr>
        <w:t>2023</w:t>
      </w:r>
      <w:r>
        <w:rPr>
          <w:rFonts w:hint="eastAsia" w:ascii="Times New Roman" w:hAnsi="Times New Roman" w:eastAsia="宋体" w:cs="Times New Roman"/>
          <w:color w:val="auto"/>
          <w:kern w:val="2"/>
          <w:sz w:val="24"/>
          <w:szCs w:val="24"/>
          <w:lang w:val="en-US" w:eastAsia="zh-CN" w:bidi="ar-SA"/>
        </w:rPr>
        <w:t>）要求执行。</w:t>
      </w:r>
    </w:p>
    <w:p w14:paraId="56E99AFF">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14:paraId="619D6C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29C92F95">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山东华统面业有限公司</w:t>
      </w:r>
    </w:p>
    <w:p w14:paraId="415BF5C5">
      <w:pPr>
        <w:keepNext w:val="0"/>
        <w:keepLines w:val="0"/>
        <w:pageBreakBefore w:val="0"/>
        <w:kinsoku/>
        <w:wordWrap/>
        <w:overflowPunct/>
        <w:topLinePunct w:val="0"/>
        <w:bidi w:val="0"/>
        <w:adjustRightInd w:val="0"/>
        <w:spacing w:line="560" w:lineRule="exact"/>
        <w:ind w:right="600" w:firstLine="6240" w:firstLineChars="2600"/>
        <w:textAlignment w:val="auto"/>
        <w:outlineLvl w:val="9"/>
        <w:rPr>
          <w:rFonts w:hint="default" w:ascii="Times New Roman" w:hAnsi="Times New Roman" w:cs="Times New Roman" w:eastAsiaTheme="minorEastAsia"/>
          <w:color w:val="auto"/>
          <w:sz w:val="24"/>
          <w:szCs w:val="24"/>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4</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11</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10</w:t>
      </w:r>
      <w:r>
        <w:rPr>
          <w:rFonts w:hint="default" w:ascii="Times New Roman" w:hAnsi="Times New Roman" w:cs="Times New Roman" w:eastAsiaTheme="minorEastAsia"/>
          <w:color w:val="auto"/>
          <w:sz w:val="24"/>
          <w:szCs w:val="24"/>
          <w:shd w:val="clear" w:color="auto" w:fill="FFFFFF"/>
          <w:lang w:bidi="ar"/>
        </w:rPr>
        <w:t>日</w:t>
      </w:r>
    </w:p>
    <w:p w14:paraId="2455B0E9">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14:paraId="419A4862">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r>
        <w:rPr>
          <w:rFonts w:hint="eastAsia" w:eastAsia="宋体"/>
          <w:lang w:eastAsia="zh-CN"/>
        </w:rPr>
        <w:drawing>
          <wp:inline distT="0" distB="0" distL="114300" distR="114300">
            <wp:extent cx="8355330" cy="5227320"/>
            <wp:effectExtent l="0" t="0" r="7620" b="1143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5"/>
                    <a:stretch>
                      <a:fillRect/>
                    </a:stretch>
                  </pic:blipFill>
                  <pic:spPr>
                    <a:xfrm rot="10800000">
                      <a:off x="0" y="0"/>
                      <a:ext cx="8355330" cy="5227320"/>
                    </a:xfrm>
                    <a:prstGeom prst="rect">
                      <a:avLst/>
                    </a:prstGeom>
                  </pic:spPr>
                </pic:pic>
              </a:graphicData>
            </a:graphic>
          </wp:inline>
        </w:drawing>
      </w:r>
      <w:bookmarkStart w:id="0" w:name="_GoBack"/>
      <w:bookmarkEnd w:id="0"/>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C398A33">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14:paraId="769CB0FC">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88590"/>
    <w:multiLevelType w:val="singleLevel"/>
    <w:tmpl w:val="BC488590"/>
    <w:lvl w:ilvl="0" w:tentative="0">
      <w:start w:val="3"/>
      <w:numFmt w:val="decimal"/>
      <w:suff w:val="nothing"/>
      <w:lvlText w:val="（%1）"/>
      <w:lvlJc w:val="left"/>
    </w:lvl>
  </w:abstractNum>
  <w:abstractNum w:abstractNumId="1">
    <w:nsid w:val="58223E3F"/>
    <w:multiLevelType w:val="singleLevel"/>
    <w:tmpl w:val="58223E3F"/>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4D83C44"/>
    <w:rsid w:val="053F0C01"/>
    <w:rsid w:val="059B00A7"/>
    <w:rsid w:val="08514A4D"/>
    <w:rsid w:val="08981135"/>
    <w:rsid w:val="08C34FF7"/>
    <w:rsid w:val="0A2D5046"/>
    <w:rsid w:val="0ADB5E7A"/>
    <w:rsid w:val="0AE56DE0"/>
    <w:rsid w:val="0B536D2E"/>
    <w:rsid w:val="0C6C62F9"/>
    <w:rsid w:val="0C7541D8"/>
    <w:rsid w:val="0C8223EB"/>
    <w:rsid w:val="0CA42951"/>
    <w:rsid w:val="0CFE6766"/>
    <w:rsid w:val="0D4C0587"/>
    <w:rsid w:val="0FD3668F"/>
    <w:rsid w:val="10482845"/>
    <w:rsid w:val="10713983"/>
    <w:rsid w:val="110F3E45"/>
    <w:rsid w:val="14025795"/>
    <w:rsid w:val="140B7F29"/>
    <w:rsid w:val="15551E7C"/>
    <w:rsid w:val="159D5768"/>
    <w:rsid w:val="15CF16A7"/>
    <w:rsid w:val="16154F53"/>
    <w:rsid w:val="16FA4E86"/>
    <w:rsid w:val="17B71A49"/>
    <w:rsid w:val="17FE0021"/>
    <w:rsid w:val="182F2017"/>
    <w:rsid w:val="187F4AD0"/>
    <w:rsid w:val="19A12421"/>
    <w:rsid w:val="1AA72BF2"/>
    <w:rsid w:val="1AAB26E2"/>
    <w:rsid w:val="1AAE2376"/>
    <w:rsid w:val="1ABD2AF2"/>
    <w:rsid w:val="1B1851B0"/>
    <w:rsid w:val="1CFD0F69"/>
    <w:rsid w:val="1D300C7D"/>
    <w:rsid w:val="1D8D2573"/>
    <w:rsid w:val="1E77130C"/>
    <w:rsid w:val="1F7E33E3"/>
    <w:rsid w:val="1FB02549"/>
    <w:rsid w:val="20C33720"/>
    <w:rsid w:val="218C6A2F"/>
    <w:rsid w:val="22B36145"/>
    <w:rsid w:val="26F95E73"/>
    <w:rsid w:val="270B5883"/>
    <w:rsid w:val="285A12A4"/>
    <w:rsid w:val="288C09DE"/>
    <w:rsid w:val="290B259E"/>
    <w:rsid w:val="29EC3253"/>
    <w:rsid w:val="2A2A5D1E"/>
    <w:rsid w:val="2ABB7EB6"/>
    <w:rsid w:val="2B97636B"/>
    <w:rsid w:val="2C2B6CCA"/>
    <w:rsid w:val="2C962879"/>
    <w:rsid w:val="2CE83322"/>
    <w:rsid w:val="2F1728B1"/>
    <w:rsid w:val="2FE204FD"/>
    <w:rsid w:val="301C0DDD"/>
    <w:rsid w:val="30674F5B"/>
    <w:rsid w:val="30C6397A"/>
    <w:rsid w:val="30EE4C7F"/>
    <w:rsid w:val="32B258CB"/>
    <w:rsid w:val="336F41DB"/>
    <w:rsid w:val="348F3449"/>
    <w:rsid w:val="35475771"/>
    <w:rsid w:val="35921FFC"/>
    <w:rsid w:val="36AD7EC3"/>
    <w:rsid w:val="3A0F01A8"/>
    <w:rsid w:val="3BD50FCD"/>
    <w:rsid w:val="3C8474D5"/>
    <w:rsid w:val="3CA8267C"/>
    <w:rsid w:val="40095632"/>
    <w:rsid w:val="403B1566"/>
    <w:rsid w:val="415D2813"/>
    <w:rsid w:val="42A64878"/>
    <w:rsid w:val="42D12BD5"/>
    <w:rsid w:val="434F5A51"/>
    <w:rsid w:val="44756DC2"/>
    <w:rsid w:val="448B2AB9"/>
    <w:rsid w:val="44CD1674"/>
    <w:rsid w:val="44E00565"/>
    <w:rsid w:val="452C453B"/>
    <w:rsid w:val="481B311D"/>
    <w:rsid w:val="483A4554"/>
    <w:rsid w:val="49CB3674"/>
    <w:rsid w:val="4A4A4B33"/>
    <w:rsid w:val="4A520E2B"/>
    <w:rsid w:val="4C155AC3"/>
    <w:rsid w:val="4CC56D84"/>
    <w:rsid w:val="4D5558B4"/>
    <w:rsid w:val="4E2E0F85"/>
    <w:rsid w:val="4ED41581"/>
    <w:rsid w:val="50E650D3"/>
    <w:rsid w:val="51AA71FB"/>
    <w:rsid w:val="52592449"/>
    <w:rsid w:val="527B23BF"/>
    <w:rsid w:val="52B018E5"/>
    <w:rsid w:val="53530C46"/>
    <w:rsid w:val="53DD36D8"/>
    <w:rsid w:val="54EE0658"/>
    <w:rsid w:val="558772CD"/>
    <w:rsid w:val="560C332E"/>
    <w:rsid w:val="57E24C8E"/>
    <w:rsid w:val="59244A43"/>
    <w:rsid w:val="5A0802B0"/>
    <w:rsid w:val="5A0C3D15"/>
    <w:rsid w:val="5A623404"/>
    <w:rsid w:val="5BCB7408"/>
    <w:rsid w:val="5C084E7C"/>
    <w:rsid w:val="5C2F2281"/>
    <w:rsid w:val="5EB84053"/>
    <w:rsid w:val="600A6B30"/>
    <w:rsid w:val="60263F50"/>
    <w:rsid w:val="60A878DC"/>
    <w:rsid w:val="60B82B42"/>
    <w:rsid w:val="60EB450B"/>
    <w:rsid w:val="614B11AE"/>
    <w:rsid w:val="62536A85"/>
    <w:rsid w:val="641B4FF7"/>
    <w:rsid w:val="649460BF"/>
    <w:rsid w:val="65564B7B"/>
    <w:rsid w:val="66083330"/>
    <w:rsid w:val="68D4001D"/>
    <w:rsid w:val="69247BC3"/>
    <w:rsid w:val="6A1877FC"/>
    <w:rsid w:val="6A4662AD"/>
    <w:rsid w:val="6A7038C2"/>
    <w:rsid w:val="6C9227DE"/>
    <w:rsid w:val="6D4541F6"/>
    <w:rsid w:val="6DB13A3A"/>
    <w:rsid w:val="6F5F79E8"/>
    <w:rsid w:val="706D5F5F"/>
    <w:rsid w:val="714F490E"/>
    <w:rsid w:val="727335A4"/>
    <w:rsid w:val="73076EFF"/>
    <w:rsid w:val="73C1302B"/>
    <w:rsid w:val="75287D2D"/>
    <w:rsid w:val="753A1801"/>
    <w:rsid w:val="7543143E"/>
    <w:rsid w:val="75926377"/>
    <w:rsid w:val="7696248B"/>
    <w:rsid w:val="76A96C4B"/>
    <w:rsid w:val="785901FD"/>
    <w:rsid w:val="79CE2470"/>
    <w:rsid w:val="7B451137"/>
    <w:rsid w:val="7B910714"/>
    <w:rsid w:val="7BB54689"/>
    <w:rsid w:val="7CE54755"/>
    <w:rsid w:val="7D422132"/>
    <w:rsid w:val="7DED3CE8"/>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styleId="4">
    <w:name w:val="annotation text"/>
    <w:basedOn w:val="1"/>
    <w:link w:val="28"/>
    <w:autoRedefine/>
    <w:qFormat/>
    <w:uiPriority w:val="0"/>
    <w:pPr>
      <w:jc w:val="left"/>
    </w:pPr>
    <w:rPr>
      <w:rFonts w:ascii="Times New Roman" w:hAnsi="Times New Roman"/>
      <w:szCs w:val="20"/>
    </w:rPr>
  </w:style>
  <w:style w:type="paragraph" w:styleId="5">
    <w:name w:val="Body Text"/>
    <w:basedOn w:val="1"/>
    <w:link w:val="26"/>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2"/>
    <w:autoRedefine/>
    <w:semiHidden/>
    <w:unhideWhenUsed/>
    <w:qFormat/>
    <w:uiPriority w:val="99"/>
    <w:rPr>
      <w:sz w:val="18"/>
      <w:szCs w:val="18"/>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Normal (Web)"/>
    <w:basedOn w:val="1"/>
    <w:qFormat/>
    <w:uiPriority w:val="99"/>
    <w:pPr>
      <w:spacing w:before="100" w:beforeAutospacing="1" w:after="100" w:afterAutospacing="1"/>
    </w:pPr>
    <w:rPr>
      <w:rFonts w:ascii="宋体" w:hAnsi="宋体" w:eastAsia="宋体" w:cs="宋体"/>
      <w:sz w:val="28"/>
      <w:szCs w:val="28"/>
    </w:rPr>
  </w:style>
  <w:style w:type="paragraph" w:styleId="14">
    <w:name w:val="Body Text First Indent 2"/>
    <w:basedOn w:val="6"/>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li_正文"/>
    <w:basedOn w:val="1"/>
    <w:autoRedefine/>
    <w:qFormat/>
    <w:uiPriority w:val="0"/>
    <w:pPr>
      <w:ind w:firstLine="200" w:firstLineChars="200"/>
      <w:jc w:val="left"/>
    </w:pPr>
    <w:rPr>
      <w:sz w:val="28"/>
      <w:szCs w:val="28"/>
    </w:rPr>
  </w:style>
  <w:style w:type="character" w:customStyle="1" w:styleId="20">
    <w:name w:val="页眉 Char"/>
    <w:basedOn w:val="17"/>
    <w:link w:val="11"/>
    <w:autoRedefine/>
    <w:qFormat/>
    <w:uiPriority w:val="99"/>
    <w:rPr>
      <w:sz w:val="18"/>
      <w:szCs w:val="18"/>
    </w:rPr>
  </w:style>
  <w:style w:type="character" w:customStyle="1" w:styleId="21">
    <w:name w:val="页脚 Char"/>
    <w:basedOn w:val="17"/>
    <w:link w:val="10"/>
    <w:autoRedefine/>
    <w:qFormat/>
    <w:uiPriority w:val="99"/>
    <w:rPr>
      <w:sz w:val="18"/>
      <w:szCs w:val="18"/>
    </w:rPr>
  </w:style>
  <w:style w:type="character" w:customStyle="1" w:styleId="22">
    <w:name w:val="批注框文本 Char"/>
    <w:basedOn w:val="17"/>
    <w:link w:val="9"/>
    <w:autoRedefine/>
    <w:semiHidden/>
    <w:qFormat/>
    <w:uiPriority w:val="99"/>
    <w:rPr>
      <w:rFonts w:ascii="Calibri" w:hAnsi="Calibri" w:eastAsia="宋体" w:cs="Times New Roman"/>
      <w:kern w:val="2"/>
      <w:sz w:val="18"/>
      <w:szCs w:val="18"/>
    </w:rPr>
  </w:style>
  <w:style w:type="paragraph" w:customStyle="1" w:styleId="23">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4">
    <w:name w:val="List Paragraph"/>
    <w:basedOn w:val="1"/>
    <w:autoRedefine/>
    <w:unhideWhenUsed/>
    <w:qFormat/>
    <w:uiPriority w:val="99"/>
    <w:pPr>
      <w:ind w:firstLine="420" w:firstLineChars="200"/>
    </w:pPr>
  </w:style>
  <w:style w:type="paragraph" w:customStyle="1" w:styleId="25">
    <w:name w:val="正1"/>
    <w:basedOn w:val="1"/>
    <w:link w:val="30"/>
    <w:autoRedefine/>
    <w:qFormat/>
    <w:uiPriority w:val="0"/>
    <w:pPr>
      <w:spacing w:line="360" w:lineRule="auto"/>
      <w:ind w:firstLine="200" w:firstLineChars="200"/>
      <w:jc w:val="left"/>
    </w:pPr>
    <w:rPr>
      <w:rFonts w:eastAsia="楷体_GB2312"/>
      <w:sz w:val="24"/>
    </w:rPr>
  </w:style>
  <w:style w:type="character" w:customStyle="1" w:styleId="26">
    <w:name w:val="正文文本 Char"/>
    <w:basedOn w:val="17"/>
    <w:link w:val="5"/>
    <w:autoRedefine/>
    <w:qFormat/>
    <w:uiPriority w:val="0"/>
    <w:rPr>
      <w:kern w:val="2"/>
      <w:sz w:val="21"/>
    </w:rPr>
  </w:style>
  <w:style w:type="paragraph" w:customStyle="1" w:styleId="27">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8">
    <w:name w:val="批注文字 Char"/>
    <w:basedOn w:val="17"/>
    <w:link w:val="4"/>
    <w:autoRedefine/>
    <w:qFormat/>
    <w:uiPriority w:val="0"/>
    <w:rPr>
      <w:kern w:val="2"/>
      <w:sz w:val="21"/>
    </w:rPr>
  </w:style>
  <w:style w:type="paragraph" w:customStyle="1" w:styleId="29">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0">
    <w:name w:val="正1 Char"/>
    <w:link w:val="25"/>
    <w:autoRedefine/>
    <w:qFormat/>
    <w:uiPriority w:val="0"/>
    <w:rPr>
      <w:rFonts w:ascii="Calibri" w:hAnsi="Calibri" w:eastAsia="楷体_GB2312"/>
      <w:kern w:val="2"/>
      <w:sz w:val="24"/>
      <w:szCs w:val="24"/>
    </w:rPr>
  </w:style>
  <w:style w:type="paragraph" w:customStyle="1" w:styleId="31">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2">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3">
    <w:name w:val="NormalCharacter"/>
    <w:autoRedefine/>
    <w:semiHidden/>
    <w:qFormat/>
    <w:uiPriority w:val="0"/>
  </w:style>
  <w:style w:type="paragraph" w:customStyle="1" w:styleId="34">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4082</Words>
  <Characters>4479</Characters>
  <Lines>18</Lines>
  <Paragraphs>5</Paragraphs>
  <TotalTime>6</TotalTime>
  <ScaleCrop>false</ScaleCrop>
  <LinksUpToDate>false</LinksUpToDate>
  <CharactersWithSpaces>4540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2025-09-01T02:21:00Z</cp:lastPrinted>
  <dcterms:modified xsi:type="dcterms:W3CDTF">2025-09-01T09:53:19Z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888C806E354C47839AE64B6C6598DFE8_13</vt:lpwstr>
  </property>
  <property fmtid="{D5CDD505-2E9C-101B-9397-08002B2CF9AE}" pid="4" name="KSOTemplateDocerSaveRecord">
    <vt:lpwstr>eyJoZGlkIjoiY2Q5NzFmZWMwZDI3YzY5MTEzZGE2YjM4OTNkM2M5N2UiLCJ1c2VySWQiOiIzMDM1MjgyNzUifQ==</vt:lpwstr>
  </property>
</Properties>
</file>