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3F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陆地石油科技(山东)有限公司年产1万吨硫铵颗粒肥项目</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32"/>
          <w:szCs w:val="32"/>
          <w:lang w:eastAsia="zh-CN"/>
        </w:rPr>
      </w:pPr>
      <w:r>
        <w:rPr>
          <w:rFonts w:hint="default" w:ascii="Times New Roman" w:hAnsi="Times New Roman" w:eastAsia="宋体" w:cs="Times New Roman"/>
          <w:b/>
          <w:bCs/>
          <w:sz w:val="28"/>
          <w:szCs w:val="28"/>
          <w:lang w:eastAsia="zh-CN"/>
        </w:rPr>
        <w:t>竣工环境保护验收其他需要说明的事项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60E45671">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陆地石油科技(山东)有限公司成立于2022年05月07日，位于山东省聊城市茌平区乐平铺镇看守所东临100米院内，占地面积约1600平方米（土地性质为工业用地）。建设项目为《陆地石油科技（山东）有限公司年产1万吨硫铵颗粒肥项目》，总投资1000万元。本项目租赁茌平县德玺生物肥料有限责任公司闲置车间，购置造粒机、搅拌机、分料机、筛分机、破碎机、输送机、定量包装机、烘干机、主机平台、成品料仓及配套设施等设备，建设1条复混肥生产线，项目建成后可实现年产1万吨硫铵颗粒肥的生产能力。</w:t>
      </w:r>
    </w:p>
    <w:p w14:paraId="25849D8A">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陆地石油科技(山东)有限公司</w:t>
      </w:r>
      <w:r>
        <w:rPr>
          <w:rFonts w:ascii="Times New Roman" w:hAnsi="Times New Roman" w:eastAsia="宋体"/>
          <w:color w:val="auto"/>
          <w:sz w:val="24"/>
          <w:szCs w:val="24"/>
          <w:highlight w:val="none"/>
        </w:rPr>
        <w:t>委托</w:t>
      </w:r>
      <w:r>
        <w:rPr>
          <w:rFonts w:hint="eastAsia" w:ascii="Times New Roman" w:hAnsi="Times New Roman" w:eastAsia="宋体" w:cs="Times New Roman"/>
          <w:color w:val="auto"/>
          <w:sz w:val="24"/>
          <w:szCs w:val="24"/>
          <w:lang w:eastAsia="zh-CN"/>
        </w:rPr>
        <w:t>碧宇生态环保科技(山东)有限公司</w:t>
      </w:r>
      <w:r>
        <w:rPr>
          <w:rFonts w:ascii="Times New Roman" w:hAnsi="Times New Roman" w:eastAsia="宋体"/>
          <w:color w:val="auto"/>
          <w:sz w:val="24"/>
          <w:szCs w:val="24"/>
          <w:highlight w:val="none"/>
        </w:rPr>
        <w:t>编制《</w:t>
      </w:r>
      <w:r>
        <w:rPr>
          <w:rFonts w:hint="eastAsia" w:ascii="Times New Roman" w:hAnsi="Times New Roman" w:eastAsia="宋体" w:cs="Times New Roman"/>
          <w:color w:val="auto"/>
          <w:sz w:val="24"/>
          <w:szCs w:val="24"/>
          <w:highlight w:val="none"/>
          <w:lang w:val="en-US" w:eastAsia="zh-CN"/>
        </w:rPr>
        <w:t>陆地石油科技（山东）有限公司年产1万吨硫铵颗粒肥项目</w:t>
      </w: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15</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31</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5DBFE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2025年9月，陆地石油科技(山东)有限公司委托山东玖玺环保科技有限公司于2025年09月09日、09月10日对陆地石油科技(山东)有限公司年产1万吨硫铵颗粒肥项目进行了验收检测。后对检测数据进行分析论证，在此基础上完成了项目竣工环境保护验收监测报告表的编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（2）环境风险防范措施</w:t>
      </w:r>
    </w:p>
    <w:p w14:paraId="63D6FD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①车</w:t>
      </w:r>
      <w:r>
        <w:rPr>
          <w:rFonts w:hint="default" w:ascii="Times New Roman" w:hAnsi="Times New Roman" w:eastAsia="宋体" w:cs="Times New Roman"/>
          <w:sz w:val="24"/>
          <w:szCs w:val="24"/>
          <w:highlight w:val="none"/>
          <w:lang w:val="en-US" w:eastAsia="zh-CN"/>
        </w:rPr>
        <w:t>间配备备用收容用空桶和空袋；配套沙池或沙袋等应急截留或封堵物质。</w:t>
      </w:r>
    </w:p>
    <w:p w14:paraId="54F953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②</w:t>
      </w:r>
      <w:r>
        <w:rPr>
          <w:rFonts w:hint="default" w:ascii="Times New Roman" w:hAnsi="Times New Roman" w:eastAsia="宋体" w:cs="Times New Roman"/>
          <w:sz w:val="24"/>
          <w:szCs w:val="24"/>
          <w:highlight w:val="none"/>
          <w:lang w:val="en-US" w:eastAsia="zh-CN"/>
        </w:rPr>
        <w:t>车间内分区布置，并按规定设计消防通道。生产车间应有禁止烟火的安</w:t>
      </w:r>
    </w:p>
    <w:p w14:paraId="45AD10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全标识，严禁职工抽烟。原料区、成品区等明显位置张贴禁火标识并在车间内配备灭火器等消防器材。</w:t>
      </w:r>
    </w:p>
    <w:p w14:paraId="712E20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③</w:t>
      </w:r>
      <w:r>
        <w:rPr>
          <w:rFonts w:hint="default" w:ascii="Times New Roman" w:hAnsi="Times New Roman" w:eastAsia="宋体" w:cs="Times New Roman"/>
          <w:sz w:val="24"/>
          <w:szCs w:val="24"/>
          <w:highlight w:val="none"/>
          <w:lang w:val="en-US" w:eastAsia="zh-CN"/>
        </w:rPr>
        <w:t>经常检查车间生产车间地面防渗情况，一旦发现地面有裂纹及时进行修整，并做好防渗。</w:t>
      </w:r>
    </w:p>
    <w:p w14:paraId="41A5AC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④</w:t>
      </w:r>
      <w:r>
        <w:rPr>
          <w:rFonts w:hint="default" w:ascii="Times New Roman" w:hAnsi="Times New Roman" w:eastAsia="宋体" w:cs="Times New Roman"/>
          <w:sz w:val="24"/>
          <w:szCs w:val="24"/>
          <w:highlight w:val="none"/>
          <w:lang w:val="en-US" w:eastAsia="zh-CN"/>
        </w:rPr>
        <w:t>制定安全操作规章制度，指定安全责任人，加强宣传教育，提高职工防范意识。</w:t>
      </w:r>
    </w:p>
    <w:p w14:paraId="7FB8F7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⑤</w:t>
      </w:r>
      <w:r>
        <w:rPr>
          <w:rFonts w:hint="default" w:ascii="Times New Roman" w:hAnsi="Times New Roman" w:eastAsia="宋体" w:cs="Times New Roman"/>
          <w:sz w:val="24"/>
          <w:szCs w:val="24"/>
          <w:highlight w:val="none"/>
          <w:lang w:val="en-US" w:eastAsia="zh-CN"/>
        </w:rPr>
        <w:t>原料入库时，严格检验物品质量、数量、包装情况、有无泄漏；入库后，在贮存期内定期检查；制定使用管理制度，严格加强管理，杜绝事故发生。</w:t>
      </w:r>
    </w:p>
    <w:p w14:paraId="4557C5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⑥</w:t>
      </w:r>
      <w:r>
        <w:rPr>
          <w:rFonts w:hint="default" w:ascii="Times New Roman" w:hAnsi="Times New Roman" w:eastAsia="宋体" w:cs="Times New Roman"/>
          <w:sz w:val="24"/>
          <w:szCs w:val="24"/>
          <w:highlight w:val="none"/>
          <w:lang w:val="en-US" w:eastAsia="zh-CN"/>
        </w:rPr>
        <w:t>加强设备、电器巡检，防止因设备、电器、线路老化以及管理疏漏、操作失误等原因造成物料泄漏引发火灾事故和污染事故。</w:t>
      </w:r>
    </w:p>
    <w:p w14:paraId="387ED4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yellow"/>
          <w:lang w:val="en-US" w:eastAsia="zh-CN"/>
        </w:rPr>
      </w:pPr>
      <w:r>
        <w:rPr>
          <w:rFonts w:hint="eastAsia" w:ascii="Times New Roman" w:hAnsi="Times New Roman" w:cs="Times New Roman"/>
          <w:sz w:val="24"/>
          <w:szCs w:val="24"/>
          <w:highlight w:val="none"/>
          <w:lang w:val="en-US" w:eastAsia="zh-CN"/>
        </w:rPr>
        <w:t>⑦</w:t>
      </w:r>
      <w:r>
        <w:rPr>
          <w:rFonts w:hint="default" w:ascii="Times New Roman" w:hAnsi="Times New Roman" w:eastAsia="宋体" w:cs="Times New Roman"/>
          <w:sz w:val="24"/>
          <w:szCs w:val="24"/>
          <w:highlight w:val="none"/>
          <w:lang w:val="en-US" w:eastAsia="zh-CN"/>
        </w:rPr>
        <w:t>制定火灾或泄露等事故下的应急处置方案，规定应急处理事故的队伍人员，一旦发生意外，处惊不变，能迅速地解决问题，使环境损失、经济损失、人员伤亡等降至最小。</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EF201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）表1非重点排污单位、其他排放口的监测指标自行监测要求，本项目自行监测计划见下表： </w:t>
      </w: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b/>
          <w:bCs/>
          <w:color w:val="000000"/>
          <w:kern w:val="0"/>
          <w:sz w:val="24"/>
          <w:szCs w:val="24"/>
          <w:highlight w:val="none"/>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873"/>
        <w:gridCol w:w="2171"/>
        <w:gridCol w:w="2172"/>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sz w:val="21"/>
                <w:szCs w:val="21"/>
                <w:highlight w:val="none"/>
                <w:vertAlign w:val="baseline"/>
                <w:lang w:val="en-US" w:eastAsia="zh-CN"/>
              </w:rPr>
            </w:pPr>
            <w:r>
              <w:rPr>
                <w:rFonts w:hint="eastAsia" w:ascii="宋体" w:hAnsi="宋体" w:eastAsia="宋体" w:cs="宋体"/>
                <w:b/>
                <w:bCs/>
                <w:color w:val="000000"/>
                <w:kern w:val="0"/>
                <w:sz w:val="21"/>
                <w:szCs w:val="21"/>
                <w:highlight w:val="none"/>
                <w:lang w:val="en-US" w:eastAsia="zh-CN" w:bidi="ar"/>
              </w:rPr>
              <w:t>监测点位</w:t>
            </w:r>
          </w:p>
        </w:tc>
        <w:tc>
          <w:tcPr>
            <w:tcW w:w="287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sz w:val="21"/>
                <w:szCs w:val="21"/>
                <w:highlight w:val="none"/>
                <w:vertAlign w:val="baseline"/>
                <w:lang w:val="en-US" w:eastAsia="zh-CN"/>
              </w:rPr>
            </w:pPr>
            <w:r>
              <w:rPr>
                <w:rFonts w:hint="eastAsia" w:ascii="宋体" w:hAnsi="宋体" w:eastAsia="宋体" w:cs="宋体"/>
                <w:b/>
                <w:bCs/>
                <w:color w:val="000000"/>
                <w:kern w:val="0"/>
                <w:sz w:val="21"/>
                <w:szCs w:val="21"/>
                <w:highlight w:val="none"/>
                <w:lang w:val="en-US" w:eastAsia="zh-CN" w:bidi="ar"/>
              </w:rPr>
              <w:t>检测因子</w:t>
            </w:r>
          </w:p>
        </w:tc>
        <w:tc>
          <w:tcPr>
            <w:tcW w:w="217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sz w:val="21"/>
                <w:szCs w:val="21"/>
                <w:highlight w:val="none"/>
                <w:vertAlign w:val="baseline"/>
                <w:lang w:val="en-US" w:eastAsia="zh-CN"/>
              </w:rPr>
            </w:pPr>
            <w:r>
              <w:rPr>
                <w:rFonts w:hint="eastAsia" w:ascii="宋体" w:hAnsi="宋体" w:eastAsia="宋体" w:cs="宋体"/>
                <w:b/>
                <w:bCs/>
                <w:color w:val="000000"/>
                <w:kern w:val="0"/>
                <w:sz w:val="21"/>
                <w:szCs w:val="21"/>
                <w:highlight w:val="none"/>
                <w:lang w:val="en-US" w:eastAsia="zh-CN" w:bidi="ar"/>
              </w:rPr>
              <w:t>监测频次</w:t>
            </w:r>
          </w:p>
        </w:tc>
        <w:tc>
          <w:tcPr>
            <w:tcW w:w="2172"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sz w:val="21"/>
                <w:szCs w:val="21"/>
                <w:highlight w:val="none"/>
                <w:vertAlign w:val="baseline"/>
                <w:lang w:val="en-US" w:eastAsia="zh-CN"/>
              </w:rPr>
            </w:pPr>
            <w:r>
              <w:rPr>
                <w:rFonts w:hint="eastAsia" w:ascii="宋体" w:hAnsi="宋体" w:eastAsia="宋体" w:cs="宋体"/>
                <w:b/>
                <w:bCs/>
                <w:color w:val="000000"/>
                <w:kern w:val="0"/>
                <w:sz w:val="21"/>
                <w:szCs w:val="21"/>
                <w:highlight w:val="none"/>
                <w:lang w:val="en-US" w:eastAsia="zh-CN" w:bidi="ar"/>
              </w:rPr>
              <w:t>备注</w:t>
            </w:r>
          </w:p>
        </w:tc>
      </w:tr>
      <w:tr w14:paraId="1A9D3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restart"/>
            <w:tcBorders>
              <w:tl2br w:val="nil"/>
              <w:tr2bl w:val="nil"/>
            </w:tcBorders>
            <w:vAlign w:val="center"/>
          </w:tcPr>
          <w:p w14:paraId="77E8A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highlight w:val="none"/>
                <w:vertAlign w:val="baseline"/>
                <w:lang w:val="en-US" w:eastAsia="zh-CN"/>
              </w:rPr>
            </w:pPr>
            <w:r>
              <w:rPr>
                <w:rStyle w:val="35"/>
                <w:rFonts w:hint="eastAsia" w:ascii="Times New Roman" w:hAnsi="Times New Roman" w:cs="Times New Roman"/>
                <w:sz w:val="21"/>
                <w:szCs w:val="21"/>
                <w:highlight w:val="none"/>
                <w:lang w:val="en-US" w:eastAsia="zh-CN"/>
              </w:rPr>
              <w:t>排气筒DA001</w:t>
            </w:r>
          </w:p>
        </w:tc>
        <w:tc>
          <w:tcPr>
            <w:tcW w:w="2873" w:type="dxa"/>
            <w:tcBorders>
              <w:tl2br w:val="nil"/>
              <w:tr2bl w:val="nil"/>
            </w:tcBorders>
            <w:vAlign w:val="center"/>
          </w:tcPr>
          <w:p w14:paraId="64441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氨气</w:t>
            </w:r>
          </w:p>
        </w:tc>
        <w:tc>
          <w:tcPr>
            <w:tcW w:w="2171" w:type="dxa"/>
            <w:tcBorders>
              <w:tl2br w:val="nil"/>
              <w:tr2bl w:val="nil"/>
            </w:tcBorders>
            <w:vAlign w:val="center"/>
          </w:tcPr>
          <w:p w14:paraId="08E081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1次/季度</w:t>
            </w:r>
          </w:p>
        </w:tc>
        <w:tc>
          <w:tcPr>
            <w:tcW w:w="2172" w:type="dxa"/>
            <w:tcBorders>
              <w:tl2br w:val="nil"/>
              <w:tr2bl w:val="nil"/>
            </w:tcBorders>
            <w:vAlign w:val="center"/>
          </w:tcPr>
          <w:p w14:paraId="7E787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委托检测</w:t>
            </w:r>
          </w:p>
        </w:tc>
      </w:tr>
      <w:tr w14:paraId="245B1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continue"/>
            <w:tcBorders>
              <w:tl2br w:val="nil"/>
              <w:tr2bl w:val="nil"/>
            </w:tcBorders>
            <w:vAlign w:val="center"/>
          </w:tcPr>
          <w:p w14:paraId="1A7FCD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p>
        </w:tc>
        <w:tc>
          <w:tcPr>
            <w:tcW w:w="2873" w:type="dxa"/>
            <w:tcBorders>
              <w:tl2br w:val="nil"/>
              <w:tr2bl w:val="nil"/>
            </w:tcBorders>
            <w:vAlign w:val="center"/>
          </w:tcPr>
          <w:p w14:paraId="4B77B7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硫化氢</w:t>
            </w:r>
          </w:p>
        </w:tc>
        <w:tc>
          <w:tcPr>
            <w:tcW w:w="2171" w:type="dxa"/>
            <w:tcBorders>
              <w:tl2br w:val="nil"/>
              <w:tr2bl w:val="nil"/>
            </w:tcBorders>
            <w:vAlign w:val="center"/>
          </w:tcPr>
          <w:p w14:paraId="024308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1次/半年</w:t>
            </w:r>
          </w:p>
        </w:tc>
        <w:tc>
          <w:tcPr>
            <w:tcW w:w="2172" w:type="dxa"/>
            <w:tcBorders>
              <w:tl2br w:val="nil"/>
              <w:tr2bl w:val="nil"/>
            </w:tcBorders>
            <w:vAlign w:val="center"/>
          </w:tcPr>
          <w:p w14:paraId="5D8BE9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委托检测</w:t>
            </w:r>
          </w:p>
        </w:tc>
      </w:tr>
      <w:tr w14:paraId="2DD24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continue"/>
            <w:tcBorders>
              <w:tl2br w:val="nil"/>
              <w:tr2bl w:val="nil"/>
            </w:tcBorders>
            <w:vAlign w:val="center"/>
          </w:tcPr>
          <w:p w14:paraId="1A9664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p>
        </w:tc>
        <w:tc>
          <w:tcPr>
            <w:tcW w:w="2873" w:type="dxa"/>
            <w:tcBorders>
              <w:tl2br w:val="nil"/>
              <w:tr2bl w:val="nil"/>
            </w:tcBorders>
            <w:vAlign w:val="center"/>
          </w:tcPr>
          <w:p w14:paraId="2965A6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颗粒物</w:t>
            </w:r>
          </w:p>
        </w:tc>
        <w:tc>
          <w:tcPr>
            <w:tcW w:w="2171" w:type="dxa"/>
            <w:tcBorders>
              <w:tl2br w:val="nil"/>
              <w:tr2bl w:val="nil"/>
            </w:tcBorders>
            <w:vAlign w:val="center"/>
          </w:tcPr>
          <w:p w14:paraId="1585F1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1次/月</w:t>
            </w:r>
          </w:p>
        </w:tc>
        <w:tc>
          <w:tcPr>
            <w:tcW w:w="2172" w:type="dxa"/>
            <w:tcBorders>
              <w:tl2br w:val="nil"/>
              <w:tr2bl w:val="nil"/>
            </w:tcBorders>
            <w:vAlign w:val="center"/>
          </w:tcPr>
          <w:p w14:paraId="1B50EF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委托检测</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restart"/>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1"/>
                <w:szCs w:val="21"/>
                <w:highlight w:val="none"/>
                <w:lang w:val="en-US" w:eastAsia="zh-CN"/>
              </w:rPr>
            </w:pPr>
            <w:r>
              <w:rPr>
                <w:rStyle w:val="35"/>
                <w:rFonts w:hint="eastAsia" w:ascii="Times New Roman" w:hAnsi="Times New Roman" w:cs="Times New Roman"/>
                <w:sz w:val="21"/>
                <w:szCs w:val="21"/>
                <w:highlight w:val="none"/>
                <w:lang w:val="en-US" w:eastAsia="zh-CN"/>
              </w:rPr>
              <w:t>厂界</w:t>
            </w:r>
          </w:p>
        </w:tc>
        <w:tc>
          <w:tcPr>
            <w:tcW w:w="287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1"/>
                <w:szCs w:val="21"/>
                <w:highlight w:val="none"/>
                <w:lang w:val="en-US" w:eastAsia="zh-CN"/>
              </w:rPr>
            </w:pPr>
            <w:r>
              <w:rPr>
                <w:rStyle w:val="35"/>
                <w:rFonts w:hint="eastAsia" w:ascii="Times New Roman" w:hAnsi="Times New Roman" w:cs="Times New Roman"/>
                <w:sz w:val="21"/>
                <w:szCs w:val="21"/>
                <w:highlight w:val="none"/>
                <w:lang w:val="en-US" w:eastAsia="zh-CN"/>
              </w:rPr>
              <w:t>颗粒物</w:t>
            </w:r>
          </w:p>
        </w:tc>
        <w:tc>
          <w:tcPr>
            <w:tcW w:w="217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1次/季度</w:t>
            </w:r>
          </w:p>
        </w:tc>
        <w:tc>
          <w:tcPr>
            <w:tcW w:w="2172"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委托检测</w:t>
            </w:r>
          </w:p>
        </w:tc>
      </w:tr>
      <w:tr w14:paraId="10651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continue"/>
            <w:tcBorders>
              <w:tl2br w:val="nil"/>
              <w:tr2bl w:val="nil"/>
            </w:tcBorders>
            <w:vAlign w:val="center"/>
          </w:tcPr>
          <w:p w14:paraId="0F5230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p>
        </w:tc>
        <w:tc>
          <w:tcPr>
            <w:tcW w:w="2873" w:type="dxa"/>
            <w:tcBorders>
              <w:tl2br w:val="nil"/>
              <w:tr2bl w:val="nil"/>
            </w:tcBorders>
            <w:vAlign w:val="center"/>
          </w:tcPr>
          <w:p w14:paraId="05717A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r>
              <w:rPr>
                <w:rStyle w:val="35"/>
                <w:rFonts w:hint="eastAsia" w:ascii="Times New Roman" w:hAnsi="Times New Roman" w:cs="Times New Roman"/>
                <w:sz w:val="21"/>
                <w:szCs w:val="21"/>
                <w:highlight w:val="none"/>
                <w:lang w:val="en-US" w:eastAsia="zh-CN"/>
              </w:rPr>
              <w:t>氨气</w:t>
            </w:r>
          </w:p>
        </w:tc>
        <w:tc>
          <w:tcPr>
            <w:tcW w:w="2171" w:type="dxa"/>
            <w:tcBorders>
              <w:tl2br w:val="nil"/>
              <w:tr2bl w:val="nil"/>
            </w:tcBorders>
            <w:vAlign w:val="center"/>
          </w:tcPr>
          <w:p w14:paraId="753B90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1次/季度</w:t>
            </w:r>
          </w:p>
        </w:tc>
        <w:tc>
          <w:tcPr>
            <w:tcW w:w="2172" w:type="dxa"/>
            <w:tcBorders>
              <w:tl2br w:val="nil"/>
              <w:tr2bl w:val="nil"/>
            </w:tcBorders>
            <w:vAlign w:val="center"/>
          </w:tcPr>
          <w:p w14:paraId="080370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委托检测</w:t>
            </w:r>
          </w:p>
        </w:tc>
      </w:tr>
      <w:tr w14:paraId="64C0E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continue"/>
            <w:tcBorders>
              <w:tl2br w:val="nil"/>
              <w:tr2bl w:val="nil"/>
            </w:tcBorders>
            <w:vAlign w:val="center"/>
          </w:tcPr>
          <w:p w14:paraId="13EF79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p>
        </w:tc>
        <w:tc>
          <w:tcPr>
            <w:tcW w:w="2873" w:type="dxa"/>
            <w:tcBorders>
              <w:tl2br w:val="nil"/>
              <w:tr2bl w:val="nil"/>
            </w:tcBorders>
            <w:vAlign w:val="center"/>
          </w:tcPr>
          <w:p w14:paraId="40EA99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r>
              <w:rPr>
                <w:rStyle w:val="35"/>
                <w:rFonts w:hint="eastAsia" w:ascii="Times New Roman" w:hAnsi="Times New Roman" w:cs="Times New Roman"/>
                <w:sz w:val="21"/>
                <w:szCs w:val="21"/>
                <w:highlight w:val="none"/>
                <w:lang w:val="en-US" w:eastAsia="zh-CN"/>
              </w:rPr>
              <w:t>硫化氢</w:t>
            </w:r>
          </w:p>
        </w:tc>
        <w:tc>
          <w:tcPr>
            <w:tcW w:w="2171" w:type="dxa"/>
            <w:tcBorders>
              <w:tl2br w:val="nil"/>
              <w:tr2bl w:val="nil"/>
            </w:tcBorders>
            <w:vAlign w:val="center"/>
          </w:tcPr>
          <w:p w14:paraId="22D39C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1次/半年</w:t>
            </w:r>
          </w:p>
        </w:tc>
        <w:tc>
          <w:tcPr>
            <w:tcW w:w="2172" w:type="dxa"/>
            <w:tcBorders>
              <w:tl2br w:val="nil"/>
              <w:tr2bl w:val="nil"/>
            </w:tcBorders>
            <w:vAlign w:val="center"/>
          </w:tcPr>
          <w:p w14:paraId="6A32F8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委托检测</w:t>
            </w:r>
          </w:p>
        </w:tc>
      </w:tr>
      <w:tr w14:paraId="086DA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continue"/>
            <w:tcBorders>
              <w:tl2br w:val="nil"/>
              <w:tr2bl w:val="nil"/>
            </w:tcBorders>
            <w:vAlign w:val="center"/>
          </w:tcPr>
          <w:p w14:paraId="181BB7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p>
        </w:tc>
        <w:tc>
          <w:tcPr>
            <w:tcW w:w="2873" w:type="dxa"/>
            <w:tcBorders>
              <w:tl2br w:val="nil"/>
              <w:tr2bl w:val="nil"/>
            </w:tcBorders>
            <w:vAlign w:val="center"/>
          </w:tcPr>
          <w:p w14:paraId="4F33AD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r>
              <w:rPr>
                <w:rStyle w:val="35"/>
                <w:rFonts w:hint="eastAsia" w:ascii="Times New Roman" w:hAnsi="Times New Roman" w:cs="Times New Roman"/>
                <w:sz w:val="21"/>
                <w:szCs w:val="21"/>
                <w:highlight w:val="none"/>
                <w:lang w:val="en-US" w:eastAsia="zh-CN"/>
              </w:rPr>
              <w:t>臭气浓度</w:t>
            </w:r>
          </w:p>
        </w:tc>
        <w:tc>
          <w:tcPr>
            <w:tcW w:w="2171" w:type="dxa"/>
            <w:tcBorders>
              <w:tl2br w:val="nil"/>
              <w:tr2bl w:val="nil"/>
            </w:tcBorders>
            <w:vAlign w:val="center"/>
          </w:tcPr>
          <w:p w14:paraId="2BD478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1次/半年</w:t>
            </w:r>
          </w:p>
        </w:tc>
        <w:tc>
          <w:tcPr>
            <w:tcW w:w="2172" w:type="dxa"/>
            <w:tcBorders>
              <w:tl2br w:val="nil"/>
              <w:tr2bl w:val="nil"/>
            </w:tcBorders>
            <w:vAlign w:val="center"/>
          </w:tcPr>
          <w:p w14:paraId="7892C9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1"/>
                <w:szCs w:val="21"/>
                <w:highlight w:val="none"/>
                <w:lang w:val="en-US" w:eastAsia="zh-CN"/>
              </w:rPr>
            </w:pPr>
            <w:r>
              <w:rPr>
                <w:rStyle w:val="35"/>
                <w:rFonts w:hint="eastAsia" w:ascii="Times New Roman" w:hAnsi="Times New Roman" w:cs="Times New Roman"/>
                <w:sz w:val="21"/>
                <w:szCs w:val="21"/>
                <w:highlight w:val="none"/>
                <w:lang w:val="en-US" w:eastAsia="zh-CN"/>
              </w:rPr>
              <w:t>噪声</w:t>
            </w:r>
          </w:p>
        </w:tc>
        <w:tc>
          <w:tcPr>
            <w:tcW w:w="287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highlight w:val="none"/>
                <w:lang w:val="en-US" w:eastAsia="zh-CN"/>
              </w:rPr>
            </w:pPr>
            <w:r>
              <w:rPr>
                <w:rStyle w:val="35"/>
                <w:rFonts w:hint="default" w:ascii="Times New Roman" w:hAnsi="Times New Roman" w:eastAsia="宋体" w:cs="Times New Roman"/>
                <w:color w:val="auto"/>
                <w:sz w:val="21"/>
                <w:szCs w:val="21"/>
                <w:highlight w:val="none"/>
                <w:lang w:val="en-US" w:eastAsia="zh-CN"/>
              </w:rPr>
              <w:t>昼</w:t>
            </w:r>
            <w:r>
              <w:rPr>
                <w:rStyle w:val="35"/>
                <w:rFonts w:hint="eastAsia" w:ascii="Times New Roman" w:hAnsi="Times New Roman" w:cs="Times New Roman"/>
                <w:color w:val="auto"/>
                <w:sz w:val="21"/>
                <w:szCs w:val="21"/>
                <w:highlight w:val="none"/>
                <w:lang w:val="en-US" w:eastAsia="zh-CN"/>
              </w:rPr>
              <w:t>夜</w:t>
            </w:r>
            <w:r>
              <w:rPr>
                <w:rStyle w:val="35"/>
                <w:rFonts w:hint="default" w:ascii="Times New Roman" w:hAnsi="Times New Roman" w:eastAsia="宋体" w:cs="Times New Roman"/>
                <w:color w:val="auto"/>
                <w:sz w:val="21"/>
                <w:szCs w:val="21"/>
                <w:highlight w:val="none"/>
                <w:lang w:val="en-US" w:eastAsia="zh-CN"/>
              </w:rPr>
              <w:t>监测</w:t>
            </w:r>
          </w:p>
        </w:tc>
        <w:tc>
          <w:tcPr>
            <w:tcW w:w="2171" w:type="dxa"/>
            <w:tcBorders>
              <w:tl2br w:val="nil"/>
              <w:tr2bl w:val="nil"/>
            </w:tcBorders>
            <w:vAlign w:val="center"/>
          </w:tcPr>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Style w:val="35"/>
                <w:rFonts w:hint="eastAsia" w:ascii="Times New Roman" w:hAnsi="Times New Roman" w:eastAsia="宋体" w:cs="Times New Roman"/>
                <w:color w:val="auto"/>
                <w:sz w:val="21"/>
                <w:szCs w:val="21"/>
                <w:highlight w:val="none"/>
                <w:lang w:val="en-US" w:eastAsia="zh-CN"/>
              </w:rPr>
              <w:t>1次/季</w:t>
            </w:r>
          </w:p>
        </w:tc>
        <w:tc>
          <w:tcPr>
            <w:tcW w:w="2172"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highlight w:val="none"/>
                <w:vertAlign w:val="baseline"/>
                <w:lang w:val="en-US" w:eastAsia="zh-CN"/>
              </w:rPr>
            </w:pPr>
            <w:r>
              <w:rPr>
                <w:rFonts w:hint="eastAsia" w:ascii="Times New Roman" w:hAnsi="Times New Roman" w:cs="Times New Roman" w:eastAsiaTheme="minorEastAsia"/>
                <w:sz w:val="21"/>
                <w:szCs w:val="21"/>
                <w:highlight w:val="none"/>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w:t>
      </w:r>
      <w:r>
        <w:rPr>
          <w:rFonts w:hint="eastAsia" w:ascii="Times New Roman" w:hAnsi="Times New Roman" w:eastAsia="宋体" w:cs="Times New Roman"/>
          <w:color w:val="auto"/>
          <w:sz w:val="24"/>
          <w:szCs w:val="24"/>
          <w:highlight w:val="none"/>
        </w:rPr>
        <w:t>一般固体废物</w:t>
      </w:r>
      <w:r>
        <w:rPr>
          <w:rFonts w:hint="eastAsia" w:ascii="Times New Roman" w:hAnsi="Times New Roman" w:eastAsia="宋体" w:cs="Times New Roman"/>
          <w:color w:val="auto"/>
          <w:kern w:val="2"/>
          <w:sz w:val="24"/>
          <w:szCs w:val="24"/>
          <w:lang w:val="en-US" w:eastAsia="zh-CN" w:bidi="ar-SA"/>
        </w:rPr>
        <w:t>严格按照</w:t>
      </w:r>
      <w:r>
        <w:rPr>
          <w:rFonts w:hint="eastAsia" w:ascii="Times New Roman" w:hAnsi="Times New Roman" w:eastAsia="宋体" w:cs="Times New Roman"/>
          <w:color w:val="auto"/>
          <w:sz w:val="24"/>
          <w:szCs w:val="24"/>
          <w:highlight w:val="none"/>
        </w:rPr>
        <w:t>《一般工业固体废物贮存和填埋污染控制标准》（GB</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18599-2020）相关要求</w:t>
      </w:r>
      <w:r>
        <w:rPr>
          <w:rFonts w:hint="eastAsia" w:ascii="Times New Roman" w:hAnsi="Times New Roman" w:eastAsia="宋体" w:cs="Times New Roman"/>
          <w:color w:val="auto"/>
          <w:kern w:val="2"/>
          <w:sz w:val="24"/>
          <w:szCs w:val="24"/>
          <w:lang w:val="en-US" w:eastAsia="zh-CN" w:bidi="ar-SA"/>
        </w:rPr>
        <w:t>。</w:t>
      </w:r>
    </w:p>
    <w:p w14:paraId="220ABA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w:t>
      </w:r>
      <w:r>
        <w:rPr>
          <w:rFonts w:hint="eastAsia" w:ascii="Times New Roman" w:hAnsi="Times New Roman" w:eastAsia="宋体" w:cs="Times New Roman"/>
          <w:color w:val="auto"/>
          <w:sz w:val="24"/>
          <w:szCs w:val="24"/>
          <w:highlight w:val="none"/>
          <w:u w:val="single"/>
        </w:rPr>
        <w:t>一般固体废物</w:t>
      </w:r>
      <w:r>
        <w:rPr>
          <w:rFonts w:hint="eastAsia" w:ascii="Times New Roman" w:hAnsi="Times New Roman" w:eastAsia="宋体" w:cs="Times New Roman"/>
          <w:color w:val="auto"/>
          <w:kern w:val="2"/>
          <w:sz w:val="24"/>
          <w:szCs w:val="24"/>
          <w:u w:val="single"/>
          <w:lang w:val="en-US" w:eastAsia="zh-CN" w:bidi="ar-SA"/>
        </w:rPr>
        <w:t>严格按照</w:t>
      </w:r>
      <w:r>
        <w:rPr>
          <w:rFonts w:hint="eastAsia" w:ascii="Times New Roman" w:hAnsi="Times New Roman" w:eastAsia="宋体" w:cs="Times New Roman"/>
          <w:color w:val="auto"/>
          <w:sz w:val="24"/>
          <w:szCs w:val="24"/>
          <w:highlight w:val="none"/>
          <w:u w:val="single"/>
        </w:rPr>
        <w:t>《一般工业固体废物贮存和填埋污染控制标准》（GB</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rPr>
        <w:t>18599-2020）相关要</w:t>
      </w:r>
      <w:bookmarkStart w:id="0" w:name="_GoBack"/>
      <w:bookmarkEnd w:id="0"/>
      <w:r>
        <w:rPr>
          <w:rFonts w:hint="eastAsia" w:ascii="Times New Roman" w:hAnsi="Times New Roman" w:eastAsia="宋体" w:cs="Times New Roman"/>
          <w:color w:val="auto"/>
          <w:sz w:val="24"/>
          <w:szCs w:val="24"/>
          <w:highlight w:val="none"/>
          <w:u w:val="single"/>
        </w:rPr>
        <w:t>求</w:t>
      </w:r>
      <w:r>
        <w:rPr>
          <w:rFonts w:hint="eastAsia" w:ascii="Times New Roman" w:hAnsi="Times New Roman" w:cs="Times New Roman" w:eastAsiaTheme="minorEastAsia"/>
          <w:sz w:val="24"/>
          <w:szCs w:val="24"/>
          <w:u w:val="single"/>
          <w:lang w:val="en-US" w:eastAsia="zh-CN"/>
        </w:rPr>
        <w:t>执行。</w:t>
      </w: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6A3C96"/>
    <w:rsid w:val="06D25F48"/>
    <w:rsid w:val="08981135"/>
    <w:rsid w:val="08AC6127"/>
    <w:rsid w:val="0ADB5E7A"/>
    <w:rsid w:val="0B472137"/>
    <w:rsid w:val="0C8223EB"/>
    <w:rsid w:val="0D0001DD"/>
    <w:rsid w:val="0F1C1BCD"/>
    <w:rsid w:val="0FBA5B79"/>
    <w:rsid w:val="0FD0059D"/>
    <w:rsid w:val="11391FBF"/>
    <w:rsid w:val="11625F1D"/>
    <w:rsid w:val="11F2677F"/>
    <w:rsid w:val="128A161A"/>
    <w:rsid w:val="12CD5618"/>
    <w:rsid w:val="13393A51"/>
    <w:rsid w:val="140B7F29"/>
    <w:rsid w:val="141B57BA"/>
    <w:rsid w:val="16154F53"/>
    <w:rsid w:val="16C15CF6"/>
    <w:rsid w:val="17B71A49"/>
    <w:rsid w:val="182F2017"/>
    <w:rsid w:val="19A12421"/>
    <w:rsid w:val="1A2A15A2"/>
    <w:rsid w:val="1AAE2376"/>
    <w:rsid w:val="1B1851B0"/>
    <w:rsid w:val="1C0D1583"/>
    <w:rsid w:val="1C444B9D"/>
    <w:rsid w:val="1F7E33E3"/>
    <w:rsid w:val="20485F86"/>
    <w:rsid w:val="20AD65B5"/>
    <w:rsid w:val="20C33720"/>
    <w:rsid w:val="20FF1092"/>
    <w:rsid w:val="218C6A2F"/>
    <w:rsid w:val="22B36145"/>
    <w:rsid w:val="24657C98"/>
    <w:rsid w:val="24C100AF"/>
    <w:rsid w:val="25651C9E"/>
    <w:rsid w:val="26150725"/>
    <w:rsid w:val="26421153"/>
    <w:rsid w:val="26F95E73"/>
    <w:rsid w:val="270B5883"/>
    <w:rsid w:val="288C09DE"/>
    <w:rsid w:val="2A743136"/>
    <w:rsid w:val="2ABB7EB6"/>
    <w:rsid w:val="2F1728B1"/>
    <w:rsid w:val="30674F5B"/>
    <w:rsid w:val="321E3342"/>
    <w:rsid w:val="32332D28"/>
    <w:rsid w:val="332826CA"/>
    <w:rsid w:val="33B639D3"/>
    <w:rsid w:val="33BA52ED"/>
    <w:rsid w:val="33D415F5"/>
    <w:rsid w:val="352B1605"/>
    <w:rsid w:val="35475771"/>
    <w:rsid w:val="35750955"/>
    <w:rsid w:val="35BB246B"/>
    <w:rsid w:val="35F11C8A"/>
    <w:rsid w:val="38797524"/>
    <w:rsid w:val="39831C8C"/>
    <w:rsid w:val="39DE1D35"/>
    <w:rsid w:val="3BD50FCD"/>
    <w:rsid w:val="3CE753A4"/>
    <w:rsid w:val="3D1B4DD1"/>
    <w:rsid w:val="3F8C2233"/>
    <w:rsid w:val="403A0C7C"/>
    <w:rsid w:val="42A64878"/>
    <w:rsid w:val="446F2B9F"/>
    <w:rsid w:val="44756DC2"/>
    <w:rsid w:val="44CD1674"/>
    <w:rsid w:val="452C453B"/>
    <w:rsid w:val="452E566D"/>
    <w:rsid w:val="478466B3"/>
    <w:rsid w:val="49D23072"/>
    <w:rsid w:val="4D5558B4"/>
    <w:rsid w:val="4E751289"/>
    <w:rsid w:val="4EF37070"/>
    <w:rsid w:val="502328A6"/>
    <w:rsid w:val="50666188"/>
    <w:rsid w:val="518A07B0"/>
    <w:rsid w:val="52B018E5"/>
    <w:rsid w:val="536E48F6"/>
    <w:rsid w:val="53941238"/>
    <w:rsid w:val="53DD36D8"/>
    <w:rsid w:val="54E91C64"/>
    <w:rsid w:val="54EE0658"/>
    <w:rsid w:val="550429A6"/>
    <w:rsid w:val="562954F0"/>
    <w:rsid w:val="57F86847"/>
    <w:rsid w:val="59785D49"/>
    <w:rsid w:val="5A0C3D15"/>
    <w:rsid w:val="5B044F1C"/>
    <w:rsid w:val="5B3062C7"/>
    <w:rsid w:val="5B5B47E1"/>
    <w:rsid w:val="5B6954ED"/>
    <w:rsid w:val="5C084E7C"/>
    <w:rsid w:val="5C763BF7"/>
    <w:rsid w:val="5EC253E6"/>
    <w:rsid w:val="5F944967"/>
    <w:rsid w:val="5F9C768C"/>
    <w:rsid w:val="60A878DC"/>
    <w:rsid w:val="60B82B42"/>
    <w:rsid w:val="610C1131"/>
    <w:rsid w:val="61A274BD"/>
    <w:rsid w:val="622F0313"/>
    <w:rsid w:val="62536A85"/>
    <w:rsid w:val="63AE1EC8"/>
    <w:rsid w:val="641B4FF7"/>
    <w:rsid w:val="649460BF"/>
    <w:rsid w:val="64E04972"/>
    <w:rsid w:val="66784FF3"/>
    <w:rsid w:val="68D4001D"/>
    <w:rsid w:val="695305DA"/>
    <w:rsid w:val="69807E63"/>
    <w:rsid w:val="6A4662AD"/>
    <w:rsid w:val="6A7038C2"/>
    <w:rsid w:val="6AAE1741"/>
    <w:rsid w:val="6C9227DE"/>
    <w:rsid w:val="6CA125CA"/>
    <w:rsid w:val="6D2F44B2"/>
    <w:rsid w:val="6F5F79E8"/>
    <w:rsid w:val="70904E30"/>
    <w:rsid w:val="71BE777B"/>
    <w:rsid w:val="722A44D1"/>
    <w:rsid w:val="75926377"/>
    <w:rsid w:val="7696248B"/>
    <w:rsid w:val="76A35191"/>
    <w:rsid w:val="76DD7878"/>
    <w:rsid w:val="76DE59F5"/>
    <w:rsid w:val="784B6084"/>
    <w:rsid w:val="78B611AB"/>
    <w:rsid w:val="78F835F0"/>
    <w:rsid w:val="79425628"/>
    <w:rsid w:val="7A525C08"/>
    <w:rsid w:val="7A7F09A7"/>
    <w:rsid w:val="7ACF34CF"/>
    <w:rsid w:val="7B910714"/>
    <w:rsid w:val="7C2D2E8E"/>
    <w:rsid w:val="7CC72557"/>
    <w:rsid w:val="7D38207A"/>
    <w:rsid w:val="7D422132"/>
    <w:rsid w:val="7EAB7F69"/>
    <w:rsid w:val="7ECC448D"/>
    <w:rsid w:val="7FD41950"/>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1543</Words>
  <Characters>1592</Characters>
  <Lines>18</Lines>
  <Paragraphs>5</Paragraphs>
  <TotalTime>11</TotalTime>
  <ScaleCrop>false</ScaleCrop>
  <LinksUpToDate>false</LinksUpToDate>
  <CharactersWithSpaces>1605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2025-10-20T09:16:19Z</cp:lastPrinted>
  <dcterms:modified xsi:type="dcterms:W3CDTF">2025-10-20T09:16:23Z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0067656FF2DA44F488131B3A0BC1C049_13</vt:lpwstr>
  </property>
  <property fmtid="{D5CDD505-2E9C-101B-9397-08002B2CF9AE}" pid="4" name="KSOTemplateDocerSaveRecord">
    <vt:lpwstr>eyJoZGlkIjoiY2Q5NzFmZWMwZDI3YzY5MTEzZGE2YjM4OTNkM2M5N2UiLCJ1c2VySWQiOiIzMDM1MjgyNzUifQ==</vt:lpwstr>
  </property>
</Properties>
</file>