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djustRightInd w:val="0"/>
        <w:spacing w:before="260" w:after="260" w:line="416" w:lineRule="atLeast"/>
        <w:jc w:val="center"/>
        <w:textAlignment w:val="baseline"/>
        <w:outlineLvl w:val="1"/>
        <w:rPr>
          <w:rFonts w:ascii="宋体" w:hAnsi="宋体" w:eastAsia="黑体" w:cs="宋体"/>
          <w:b w:val="0"/>
          <w:kern w:val="0"/>
          <w:sz w:val="34"/>
          <w:szCs w:val="34"/>
          <w:lang w:val="en-US" w:eastAsia="zh-CN" w:bidi="ar-SA"/>
        </w:rPr>
      </w:pPr>
      <w:bookmarkStart w:id="0" w:name="_Toc67138345"/>
      <w:r>
        <w:rPr>
          <w:rFonts w:hint="eastAsia" w:ascii="宋体" w:hAnsi="宋体" w:eastAsia="黑体" w:cs="宋体"/>
          <w:b w:val="0"/>
          <w:kern w:val="0"/>
          <w:sz w:val="34"/>
          <w:szCs w:val="34"/>
          <w:lang w:val="en-US" w:eastAsia="zh-CN" w:bidi="ar-SA"/>
        </w:rPr>
        <w:t>采购人需求</w:t>
      </w:r>
      <w:bookmarkEnd w:id="0"/>
    </w:p>
    <w:tbl>
      <w:tblPr>
        <w:tblStyle w:val="4"/>
        <w:tblW w:w="9902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4995"/>
        <w:gridCol w:w="1509"/>
        <w:gridCol w:w="23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9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无碱玻璃纤维纱采购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是否预选项目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采购人</w:t>
            </w:r>
          </w:p>
        </w:tc>
        <w:tc>
          <w:tcPr>
            <w:tcW w:w="499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深圳清华大学研究院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采购方式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公开招标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财政限额</w:t>
            </w:r>
          </w:p>
        </w:tc>
        <w:tc>
          <w:tcPr>
            <w:tcW w:w="886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1440000.00元人民币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采购说明</w:t>
            </w:r>
          </w:p>
        </w:tc>
        <w:tc>
          <w:tcPr>
            <w:tcW w:w="886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1、本技术规范要求提出的是最低限度的基本技术要求，并未对所有技术细节作出规定，供应商应提供符合本技术要求和国家标准、行业标准的优质产品。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供应商产品与本技术要求不一致时，供应商应在投标文件中予以说明，并由评标委员会鉴定供应商产品能否达到要求。如供应商没有在投标文件中提出异议，则视为供应商提供的产品完全按照本招标文件要求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项目</w:t>
            </w:r>
            <w:r>
              <w:rPr>
                <w:rFonts w:hint="eastAsia"/>
                <w:b/>
                <w:bCs/>
                <w:sz w:val="22"/>
                <w:szCs w:val="22"/>
              </w:rPr>
              <w:t>情况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说明</w:t>
            </w:r>
          </w:p>
        </w:tc>
        <w:tc>
          <w:tcPr>
            <w:tcW w:w="886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项目所研发产品属于新兴战略性轻质高强新材料，可广泛用于交通运输、能源环保、建筑建材、3C电子等领域的市场。为在项目业务开展过程中加快复合板材研发速度，缩短客户样品提供时间，现需采购一批年度用原材料（无碱玻璃纤维纱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货物清单</w:t>
            </w:r>
          </w:p>
        </w:tc>
        <w:tc>
          <w:tcPr>
            <w:tcW w:w="886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中标人负责提供</w:t>
            </w:r>
            <w:r>
              <w:rPr>
                <w:rFonts w:hint="eastAsia"/>
                <w:color w:val="auto"/>
              </w:rPr>
              <w:t>所需</w:t>
            </w:r>
            <w:r>
              <w:rPr>
                <w:color w:val="auto"/>
              </w:rPr>
              <w:t>产品</w:t>
            </w:r>
            <w:r>
              <w:rPr>
                <w:rFonts w:hint="eastAsia"/>
                <w:color w:val="auto"/>
              </w:rPr>
              <w:t>须符合相关</w:t>
            </w:r>
            <w:r>
              <w:rPr>
                <w:color w:val="auto"/>
              </w:rPr>
              <w:t>国家标准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包含但不限于以下内容：</w:t>
            </w:r>
          </w:p>
          <w:tbl>
            <w:tblPr>
              <w:tblStyle w:val="4"/>
              <w:tblW w:w="4997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0"/>
              <w:gridCol w:w="1660"/>
              <w:gridCol w:w="970"/>
              <w:gridCol w:w="970"/>
              <w:gridCol w:w="1610"/>
              <w:gridCol w:w="155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16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产品名称</w:t>
                  </w:r>
                </w:p>
              </w:tc>
              <w:tc>
                <w:tcPr>
                  <w:tcW w:w="941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型号</w:t>
                  </w:r>
                  <w:r>
                    <w:rPr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规格</w:t>
                  </w:r>
                </w:p>
              </w:tc>
              <w:tc>
                <w:tcPr>
                  <w:tcW w:w="550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550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913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单价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（万元</w:t>
                  </w:r>
                  <w:r>
                    <w:rPr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吨）</w:t>
                  </w:r>
                </w:p>
              </w:tc>
              <w:tc>
                <w:tcPr>
                  <w:tcW w:w="880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总金额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（万元）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1163" w:type="pct"/>
                  <w:tcBorders>
                    <w:top w:val="nil"/>
                    <w:left w:val="single" w:color="auto" w:sz="8" w:space="0"/>
                    <w:bottom w:val="nil"/>
                    <w:right w:val="nil"/>
                  </w:tcBorders>
                  <w:noWrap/>
                  <w:vAlign w:val="bottom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无碱玻璃纤维纱</w:t>
                  </w:r>
                </w:p>
              </w:tc>
              <w:tc>
                <w:tcPr>
                  <w:tcW w:w="941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vAlign w:val="bottom"/>
                </w:tcPr>
                <w:p>
                  <w:pPr>
                    <w:widowControl/>
                    <w:ind w:firstLine="420" w:firstLineChars="200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400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tex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吨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eastAsia="等线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kern w:val="0"/>
                      <w:szCs w:val="21"/>
                    </w:rPr>
                    <w:t>180</w:t>
                  </w:r>
                </w:p>
              </w:tc>
              <w:tc>
                <w:tcPr>
                  <w:tcW w:w="913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eastAsia="等线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kern w:val="0"/>
                      <w:szCs w:val="21"/>
                    </w:rPr>
                    <w:t>0.8</w:t>
                  </w:r>
                </w:p>
              </w:tc>
              <w:tc>
                <w:tcPr>
                  <w:tcW w:w="880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eastAsia="等线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kern w:val="0"/>
                      <w:szCs w:val="21"/>
                    </w:rPr>
                    <w:t>144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  <w:jc w:val="center"/>
              </w:trPr>
              <w:tc>
                <w:tcPr>
                  <w:tcW w:w="5000" w:type="pct"/>
                  <w:gridSpan w:val="6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keepNext/>
              <w:keepLines/>
              <w:widowControl w:val="0"/>
              <w:adjustRightInd w:val="0"/>
              <w:spacing w:before="260" w:after="260" w:line="416" w:lineRule="atLeast"/>
              <w:jc w:val="both"/>
              <w:textAlignment w:val="baseline"/>
              <w:outlineLvl w:val="1"/>
              <w:rPr>
                <w:rFonts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具体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技术</w:t>
            </w:r>
          </w:p>
          <w:p>
            <w:pPr>
              <w:spacing w:line="36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要求</w:t>
            </w:r>
          </w:p>
        </w:tc>
        <w:tc>
          <w:tcPr>
            <w:tcW w:w="886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备注：</w:t>
            </w:r>
          </w:p>
          <w:p>
            <w:pPr>
              <w:spacing w:line="360" w:lineRule="auto"/>
              <w:rPr>
                <w:rFonts w:hint="eastAsia"/>
                <w:b/>
                <w:bCs/>
                <w:color w:val="FF0000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highlight w:val="none"/>
              </w:rPr>
              <w:t>供应商在投标前需提供样品，经需方试验合格后，同时反馈各供应商和代理机构书面文件。</w:t>
            </w:r>
          </w:p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0"/>
                <w:lang w:val="en-US" w:eastAsia="zh-CN" w:bidi="ar-SA"/>
              </w:rPr>
              <w:t>交样联系人：葛工</w:t>
            </w:r>
          </w:p>
          <w:p>
            <w:pPr>
              <w:spacing w:line="360" w:lineRule="auto"/>
              <w:rPr>
                <w:rFonts w:hint="eastAsia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color w:val="FF0000"/>
                <w:lang w:val="en-US" w:eastAsia="zh-CN"/>
              </w:rPr>
              <w:t>联系电话：13961181353</w:t>
            </w:r>
          </w:p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0"/>
                <w:lang w:val="en-US" w:eastAsia="zh-CN" w:bidi="ar-SA"/>
              </w:rPr>
              <w:t>交样地点：江苏省常州市新北区港区中路89号智能装备企业港内</w:t>
            </w:r>
          </w:p>
          <w:tbl>
            <w:tblPr>
              <w:tblStyle w:val="4"/>
              <w:tblW w:w="867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5"/>
              <w:gridCol w:w="1139"/>
              <w:gridCol w:w="1317"/>
              <w:gridCol w:w="1738"/>
              <w:gridCol w:w="396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检验项目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检验内容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检测工具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检验要求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9" w:hRule="atLeast"/>
              </w:trPr>
              <w:tc>
                <w:tcPr>
                  <w:tcW w:w="296" w:type="pct"/>
                  <w:tcBorders>
                    <w:top w:val="nil"/>
                    <w:left w:val="single" w:color="auto" w:sz="8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6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安全项目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安全</w:t>
                  </w:r>
                </w:p>
              </w:tc>
              <w:tc>
                <w:tcPr>
                  <w:tcW w:w="1002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目测</w:t>
                  </w:r>
                </w:p>
              </w:tc>
              <w:tc>
                <w:tcPr>
                  <w:tcW w:w="2285" w:type="pct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玻纤纱无以下问题：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 干燥、无霉变或虫蛀现象；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2. 无危害健康的节足动物或蟑螂卵等；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3. 无夹杂泥沙及金属物、杂塑料编织材料；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4. 不得使用再生料；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5. 不得使用漂白剂漂白；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6. 不得含致癌、致敏物质。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每锭重量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电子秤、取样器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1.参照检验标准在16~20kg.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2.每一批玻纤纱里面的每一锭误差在±0.5kg以内。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296" w:type="pct"/>
                  <w:tcBorders>
                    <w:top w:val="nil"/>
                    <w:left w:val="single" w:color="auto" w:sz="8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6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可燃物含量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ISO 1887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0.50%±0.15%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含水率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ISO 3344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≤0.1%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296" w:type="pct"/>
                  <w:tcBorders>
                    <w:top w:val="nil"/>
                    <w:left w:val="single" w:color="auto" w:sz="8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线密度偏差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ISO 1889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±5%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56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断裂强度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ISO 3341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≥0.35N/tex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96" w:type="pct"/>
                  <w:tcBorders>
                    <w:top w:val="nil"/>
                    <w:left w:val="single" w:color="auto" w:sz="8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玻纤类型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质保书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E-Glass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物理性能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上浆剂类型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质保书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PP上浆剂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296" w:type="pct"/>
                  <w:tcBorders>
                    <w:top w:val="nil"/>
                    <w:left w:val="single" w:color="auto" w:sz="8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56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外观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纸筒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卡尺/目测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1.确认来料是否超出纸筒内径公差152（0，5）mm；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2.确认纸筒是否有变形；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3.参照检验标准；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2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外观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色泽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目测</w:t>
                  </w:r>
                </w:p>
              </w:tc>
              <w:tc>
                <w:tcPr>
                  <w:tcW w:w="22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1.色泽与样品一致,同一批次无差异,不掉色;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外观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产品表面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目测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1.产品收卷端面整齐，无断头、割口、起毛、破损等现象。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外观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放纱类型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目测</w:t>
                  </w:r>
                </w:p>
              </w:tc>
              <w:tc>
                <w:tcPr>
                  <w:tcW w:w="228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外抽型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296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5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外观</w:t>
                  </w:r>
                </w:p>
              </w:tc>
              <w:tc>
                <w:tcPr>
                  <w:tcW w:w="75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检验尺寸</w:t>
                  </w:r>
                </w:p>
              </w:tc>
              <w:tc>
                <w:tcPr>
                  <w:tcW w:w="1002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卷尺</w:t>
                  </w:r>
                </w:p>
              </w:tc>
              <w:tc>
                <w:tcPr>
                  <w:tcW w:w="228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1.按订单要求，直径＜30cm;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2.产品端面错位公差±9mm；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0" w:hRule="atLeast"/>
              </w:trPr>
              <w:tc>
                <w:tcPr>
                  <w:tcW w:w="296" w:type="pc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56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外观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标识、包装</w:t>
                  </w:r>
                </w:p>
              </w:tc>
              <w:tc>
                <w:tcPr>
                  <w:tcW w:w="1002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目测</w:t>
                  </w:r>
                </w:p>
              </w:tc>
              <w:tc>
                <w:tcPr>
                  <w:tcW w:w="2285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1.包装标示需附:a.料号  b.数量c.日期d.验收单号e.批号f.客户名称等；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2.检查每箱料号与物料收货单是否一致；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3.其它参照玻纤纱国家标准进行检验.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4.产品包装完整，无破损，做防水防尘处理。</w:t>
                  </w:r>
                </w:p>
              </w:tc>
            </w:tr>
          </w:tbl>
          <w:p>
            <w:pPr>
              <w:keepNext/>
              <w:keepLines/>
              <w:widowControl w:val="0"/>
              <w:adjustRightInd w:val="0"/>
              <w:spacing w:before="260" w:after="260" w:line="416" w:lineRule="atLeast"/>
              <w:jc w:val="both"/>
              <w:textAlignment w:val="baseline"/>
              <w:outlineLvl w:val="1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商务需求</w:t>
            </w:r>
          </w:p>
        </w:tc>
        <w:tc>
          <w:tcPr>
            <w:tcW w:w="886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tbl>
            <w:tblPr>
              <w:tblStyle w:val="4"/>
              <w:tblW w:w="8511" w:type="dxa"/>
              <w:tblInd w:w="1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1"/>
              <w:gridCol w:w="1459"/>
              <w:gridCol w:w="62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459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目录</w:t>
                  </w:r>
                </w:p>
              </w:tc>
              <w:tc>
                <w:tcPr>
                  <w:tcW w:w="624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招标商务需求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511" w:type="dxa"/>
                  <w:gridSpan w:val="3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（一）免费保修期内售后服务要求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9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免费保修期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货物免费保修期1年，时间自最终验收合格并交付使用之日起计算。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5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维护响应及现场问题解决时间及方案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在保修期内，一旦发生质量问题，投标人保证在接到通知72小时内赶到现场进行处理或更换。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5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  <w:t>售后服务人员配备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指定专人对口负责售后服务。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5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  <w:t>技术培训方案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  <w:t>制定产品使用培训方案，并按照方案对使用人员进行培训。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59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  <w:t>质量保证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提供质量保证承诺书。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59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  <w:t>违约承诺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提供违约承诺书。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59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其他</w:t>
                  </w:r>
                </w:p>
              </w:tc>
              <w:tc>
                <w:tcPr>
                  <w:tcW w:w="6241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投标人应按其投标文件中的承诺，进行其他售后服务工作。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8511" w:type="dxa"/>
                  <w:gridSpan w:val="3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（二）免费保修期外售后服务要求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9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41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511" w:type="dxa"/>
                  <w:gridSpan w:val="3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（三）其他商务要求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11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59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关于交货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  <w:highlight w:val="none"/>
                    </w:rPr>
                    <w:t>1.1签订合同后</w:t>
                  </w:r>
                  <w:r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  <w:highlight w:val="none"/>
                    </w:rPr>
                    <w:t>60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  <w:highlight w:val="none"/>
                    </w:rPr>
                    <w:t>天（日历日）内。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811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59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1.2投标人必须承担的设备运输、货物装卸、安装调试、验收检测和提供设备操作说明书、图纸等其他类似的义务。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11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2"/>
                      <w:szCs w:val="22"/>
                    </w:rPr>
                    <w:t>2</w:t>
                  </w:r>
                  <w:bookmarkStart w:id="1" w:name="_GoBack"/>
                  <w:bookmarkEnd w:id="1"/>
                </w:p>
              </w:tc>
              <w:tc>
                <w:tcPr>
                  <w:tcW w:w="1459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2"/>
                      <w:szCs w:val="22"/>
                    </w:rPr>
                    <w:t>关于验收</w:t>
                  </w: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1.1投标人货物经过双方检验认可后，签署验收报告，产品保修期自验收合格之日起算，由投标人提供产品保修文件。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11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59" w:type="dxa"/>
                  <w:vMerge w:val="continue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41" w:type="dxa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1.2当满足以下条件时，采购人才向中标人签发货物验收报告：</w:t>
                  </w:r>
                </w:p>
                <w:p>
                  <w:pPr>
                    <w:tabs>
                      <w:tab w:val="left" w:pos="1260"/>
                    </w:tabs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、中标人已按照合同规定提供了全部产品及完整的技术资料。</w:t>
                  </w:r>
                </w:p>
                <w:p>
                  <w:pPr>
                    <w:tabs>
                      <w:tab w:val="left" w:pos="1260"/>
                    </w:tabs>
                    <w:spacing w:line="360" w:lineRule="auto"/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  <w:t>b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、货物符合招标文件技术规格书的要求，性能满足要求。</w:t>
                  </w:r>
                </w:p>
                <w:p>
                  <w:pPr>
                    <w:tabs>
                      <w:tab w:val="left" w:pos="1260"/>
                    </w:tabs>
                    <w:spacing w:line="360" w:lineRule="auto"/>
                    <w:rPr>
                      <w:rFonts w:ascii="宋体" w:hAnsi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  <w:bCs/>
                      <w:color w:val="000000"/>
                      <w:sz w:val="22"/>
                      <w:szCs w:val="22"/>
                    </w:rPr>
                    <w:t>c</w:t>
                  </w:r>
                  <w:r>
                    <w:rPr>
                      <w:rFonts w:hint="eastAsia" w:ascii="宋体" w:hAnsi="宋体"/>
                      <w:bCs/>
                      <w:color w:val="000000"/>
                      <w:sz w:val="22"/>
                      <w:szCs w:val="22"/>
                    </w:rPr>
                    <w:t>、货物具备产品合格证。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11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b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700" w:type="dxa"/>
                  <w:gridSpan w:val="2"/>
                  <w:noWrap w:val="0"/>
                  <w:vAlign w:val="top"/>
                </w:tcPr>
                <w:p>
                  <w:pPr>
                    <w:tabs>
                      <w:tab w:val="left" w:pos="1260"/>
                    </w:tabs>
                    <w:spacing w:line="360" w:lineRule="auto"/>
                    <w:rPr>
                      <w:rFonts w:ascii="宋体" w:hAnsi="宋体"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  <w:bCs/>
                      <w:color w:val="auto"/>
                      <w:sz w:val="22"/>
                      <w:szCs w:val="22"/>
                    </w:rPr>
                    <w:t>具体数量与金额以</w:t>
                  </w:r>
                  <w:r>
                    <w:rPr>
                      <w:rFonts w:hint="eastAsia" w:ascii="宋体" w:hAnsi="宋体"/>
                      <w:bCs/>
                      <w:color w:val="auto"/>
                      <w:sz w:val="22"/>
                      <w:szCs w:val="22"/>
                    </w:rPr>
                    <w:t>每批</w:t>
                  </w:r>
                  <w:r>
                    <w:rPr>
                      <w:rFonts w:ascii="宋体" w:hAnsi="宋体"/>
                      <w:bCs/>
                      <w:color w:val="auto"/>
                      <w:sz w:val="22"/>
                      <w:szCs w:val="22"/>
                    </w:rPr>
                    <w:t>实际发货为准</w:t>
                  </w:r>
                  <w:r>
                    <w:rPr>
                      <w:rFonts w:hint="eastAsia" w:ascii="宋体" w:hAnsi="宋体"/>
                      <w:bCs/>
                      <w:color w:val="auto"/>
                      <w:sz w:val="22"/>
                      <w:szCs w:val="22"/>
                    </w:rPr>
                    <w:t>，价格随行就市，下单时价格浮动超过双方签订合同时价格的1</w:t>
                  </w:r>
                  <w:r>
                    <w:rPr>
                      <w:rFonts w:ascii="宋体" w:hAnsi="宋体"/>
                      <w:bCs/>
                      <w:color w:val="auto"/>
                      <w:sz w:val="22"/>
                      <w:szCs w:val="22"/>
                    </w:rPr>
                    <w:t>0%</w:t>
                  </w:r>
                  <w:r>
                    <w:rPr>
                      <w:rFonts w:hint="eastAsia" w:ascii="宋体" w:hAnsi="宋体"/>
                      <w:bCs/>
                      <w:color w:val="auto"/>
                      <w:sz w:val="22"/>
                      <w:szCs w:val="22"/>
                    </w:rPr>
                    <w:t>，双方可另行协商。</w:t>
                  </w:r>
                  <w:r>
                    <w:rPr>
                      <w:rFonts w:ascii="宋体" w:hAnsi="宋体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2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2021-09-09T09:31:17Z</dcterms:created>
  <dc:creator>Administrator</dc:creator>
  <cp:lastModifiedBy>Administrator</cp:lastModifiedBy>
  <dcterms:modified xsi:type="dcterms:W3CDTF">2021-09-09T09:33:04Z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AFAC61A4DEBD4D9991AC6121F89E4F55</vt:lpwstr>
  </property>
</Properties>
</file>