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sz w:val="44"/>
          <w:szCs w:val="44"/>
          <w:bdr w:val="none" w:color="auto" w:sz="0" w:space="0"/>
          <w:shd w:val="clear" w:fill="FFFFFF"/>
        </w:rPr>
        <w:t>国家职业教育改革实施方案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w:t>
      </w:r>
      <w:bookmarkStart w:id="0" w:name="_GoBack"/>
      <w:bookmarkEnd w:id="0"/>
      <w:r>
        <w:rPr>
          <w:rFonts w:hint="eastAsia" w:ascii="宋体" w:hAnsi="宋体" w:eastAsia="宋体" w:cs="宋体"/>
          <w:i w:val="0"/>
          <w:caps w:val="0"/>
          <w:color w:val="333333"/>
          <w:spacing w:val="0"/>
          <w:sz w:val="30"/>
          <w:szCs w:val="30"/>
          <w:bdr w:val="none" w:color="auto" w:sz="0" w:space="0"/>
          <w:shd w:val="clear" w:fill="FFFFFF"/>
        </w:rPr>
        <w:t>量水平参差不齐等问题，到了必须下大力气抓好的时候。没有职业教育现代化就没有教育现代化。为贯彻全国教育大会精神，进一步办好新时代职业教育，落实《中华人民共和国职业教育法》，制定本实施方案。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ascii="楷体" w:hAnsi="楷体" w:eastAsia="楷体" w:cs="楷体"/>
          <w:i w:val="0"/>
          <w:caps w:val="0"/>
          <w:color w:val="333333"/>
          <w:spacing w:val="0"/>
          <w:sz w:val="30"/>
          <w:szCs w:val="30"/>
          <w:bdr w:val="none" w:color="auto" w:sz="0" w:space="0"/>
          <w:shd w:val="clear" w:fill="FFFFFF"/>
        </w:rPr>
        <w:t>总体要求与目标：</w:t>
      </w:r>
      <w:r>
        <w:rPr>
          <w:rFonts w:hint="eastAsia" w:ascii="宋体" w:hAnsi="宋体" w:eastAsia="宋体" w:cs="宋体"/>
          <w:i w:val="0"/>
          <w:caps w:val="0"/>
          <w:color w:val="333333"/>
          <w:spacing w:val="0"/>
          <w:sz w:val="30"/>
          <w:szCs w:val="30"/>
          <w:bdr w:val="none" w:color="auto" w:sz="0" w:space="0"/>
          <w:shd w:val="clear" w:fill="FFFFFF"/>
        </w:rPr>
        <w:t>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具体指标：</w:t>
      </w:r>
      <w:r>
        <w:rPr>
          <w:rFonts w:hint="eastAsia" w:ascii="宋体" w:hAnsi="宋体" w:eastAsia="宋体" w:cs="宋体"/>
          <w:i w:val="0"/>
          <w:caps w:val="0"/>
          <w:color w:val="333333"/>
          <w:spacing w:val="0"/>
          <w:sz w:val="30"/>
          <w:szCs w:val="30"/>
          <w:bdr w:val="none" w:color="auto" w:sz="0" w:space="0"/>
          <w:shd w:val="clear" w:fill="FFFFFF"/>
        </w:rPr>
        <w:t>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b/>
          <w:i w:val="0"/>
          <w:caps w:val="0"/>
          <w:color w:val="333333"/>
          <w:spacing w:val="0"/>
          <w:sz w:val="30"/>
          <w:szCs w:val="30"/>
          <w:bdr w:val="none" w:color="auto" w:sz="0" w:space="0"/>
          <w:shd w:val="clear" w:fill="FFFFFF"/>
        </w:rPr>
        <w:t>一、完善国家职业教育制度体系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（一）健全国家职业教育制度框架。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（二）提高中等职业教育发展水平。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鼓励中等职业学校联合中小学开展劳动和职业启蒙教育，将动手实践内容纳入中小学相关课程和学生综合素质评价。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（三）推进高等职业教育高质量发展。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（四）完善高层次应用型人才培养体系。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b/>
          <w:i w:val="0"/>
          <w:caps w:val="0"/>
          <w:color w:val="333333"/>
          <w:spacing w:val="0"/>
          <w:sz w:val="30"/>
          <w:szCs w:val="30"/>
          <w:bdr w:val="none" w:color="auto" w:sz="0" w:space="0"/>
          <w:shd w:val="clear" w:fill="FFFFFF"/>
        </w:rPr>
        <w:t>二、构建职业教育国家标准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（五）完善教育教学相关标准。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（六）启动1+X证书制度试点工作。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（七）开展高质量职业培训。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（八）实现学习成果的认定、积累和转换。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b/>
          <w:i w:val="0"/>
          <w:caps w:val="0"/>
          <w:color w:val="333333"/>
          <w:spacing w:val="0"/>
          <w:sz w:val="30"/>
          <w:szCs w:val="30"/>
          <w:bdr w:val="none" w:color="auto" w:sz="0" w:space="0"/>
          <w:shd w:val="clear" w:fill="FFFFFF"/>
        </w:rPr>
        <w:t>三、促进产教融合校企“双元”育人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（九）坚持知行合一、工学结合。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（十）推动校企全面加强深度合作。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（十一）打造一批高水平实训基地。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（十二）多措并举打造“双师型”教师队伍。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b/>
          <w:i w:val="0"/>
          <w:caps w:val="0"/>
          <w:color w:val="333333"/>
          <w:spacing w:val="0"/>
          <w:sz w:val="30"/>
          <w:szCs w:val="30"/>
          <w:bdr w:val="none" w:color="auto" w:sz="0" w:space="0"/>
          <w:shd w:val="clear" w:fill="FFFFFF"/>
        </w:rPr>
        <w:t>四、建设多元办学格局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（十三）推动企业和社会力量举办高质量职业教育。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（十四）做优职业教育培训评价组织。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b/>
          <w:i w:val="0"/>
          <w:caps w:val="0"/>
          <w:color w:val="333333"/>
          <w:spacing w:val="0"/>
          <w:sz w:val="30"/>
          <w:szCs w:val="30"/>
          <w:bdr w:val="none" w:color="auto" w:sz="0" w:space="0"/>
          <w:shd w:val="clear" w:fill="FFFFFF"/>
        </w:rPr>
        <w:t>五、完善技术技能人才保障政策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（十五）提高技术技能人才待遇水平。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（十六）健全经费投入机制。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b/>
          <w:i w:val="0"/>
          <w:caps w:val="0"/>
          <w:color w:val="333333"/>
          <w:spacing w:val="0"/>
          <w:sz w:val="30"/>
          <w:szCs w:val="30"/>
          <w:bdr w:val="none" w:color="auto" w:sz="0" w:space="0"/>
          <w:shd w:val="clear" w:fill="FFFFFF"/>
        </w:rPr>
        <w:t>六、加强职业教育办学质量督导评价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（十七）建立健全职业教育质量评价和督导评估制度。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（十八）支持组建国家职业教育指导咨询委员会。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b/>
          <w:i w:val="0"/>
          <w:caps w:val="0"/>
          <w:color w:val="333333"/>
          <w:spacing w:val="0"/>
          <w:sz w:val="30"/>
          <w:szCs w:val="30"/>
          <w:bdr w:val="none" w:color="auto" w:sz="0" w:space="0"/>
          <w:shd w:val="clear" w:fill="FFFFFF"/>
        </w:rPr>
        <w:t>七、做好改革组织实施工作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（十九）加强党对职业教育工作的全面领导。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楷体" w:hAnsi="楷体" w:eastAsia="楷体" w:cs="楷体"/>
          <w:i w:val="0"/>
          <w:caps w:val="0"/>
          <w:color w:val="333333"/>
          <w:spacing w:val="0"/>
          <w:sz w:val="30"/>
          <w:szCs w:val="30"/>
          <w:bdr w:val="none" w:color="auto" w:sz="0" w:space="0"/>
          <w:shd w:val="clear" w:fill="FFFFFF"/>
        </w:rPr>
        <w:t>（二十）完善国务院职业教育工作部际联席会议制度。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bdr w:val="none" w:color="auto" w:sz="0" w:space="0"/>
          <w:shd w:val="clear" w:fill="FFFFFF"/>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D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2022-05-22T01:47:08Z</dcterms:created>
  <dc:creator>Administrator</dc:creator>
  <cp:lastModifiedBy>Administrator</cp:lastModifiedBy>
  <dcterms:modified xsi:type="dcterms:W3CDTF">2022-05-22T01:51:18Z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